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R2-2101199</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25</w:t>
      </w:r>
      <w:r>
        <w:rPr>
          <w:rFonts w:hint="eastAsia" w:ascii="Arial" w:hAnsi="Arial" w:cs="Arial"/>
          <w:b/>
          <w:bCs/>
          <w:kern w:val="0"/>
          <w:sz w:val="24"/>
          <w:vertAlign w:val="superscript"/>
        </w:rPr>
        <w:t xml:space="preserve">th </w:t>
      </w:r>
      <w:r>
        <w:rPr>
          <w:rFonts w:hint="eastAsia" w:ascii="Arial" w:hAnsi="Arial" w:cs="Arial"/>
          <w:b/>
          <w:bCs/>
          <w:kern w:val="0"/>
          <w:sz w:val="24"/>
        </w:rPr>
        <w:t>January - 5</w:t>
      </w:r>
      <w:r>
        <w:rPr>
          <w:rFonts w:hint="eastAsia" w:ascii="Arial" w:hAnsi="Arial" w:cs="Arial"/>
          <w:b/>
          <w:bCs/>
          <w:kern w:val="0"/>
          <w:sz w:val="24"/>
          <w:vertAlign w:val="superscript"/>
        </w:rPr>
        <w:t>th</w:t>
      </w:r>
      <w:r>
        <w:rPr>
          <w:rFonts w:hint="eastAsia" w:ascii="Arial" w:hAnsi="Arial" w:cs="Arial"/>
          <w:b/>
          <w:bCs/>
          <w:kern w:val="0"/>
          <w:sz w:val="24"/>
        </w:rPr>
        <w:t xml:space="preserve"> February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Understanding on the AN-PDB and PER targets for satellite access</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8.10.1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An LS [1] on AN-PDB and PER targets for satellite access from SA2 has arrived in RAN2 to ask about the expected AN-PDB and PER targets for access via satellite/HAPS in different orbits:</w:t>
      </w:r>
    </w:p>
    <w:p>
      <w:pPr>
        <w:widowControl/>
        <w:overflowPunct w:val="0"/>
        <w:autoSpaceDE w:val="0"/>
        <w:autoSpaceDN w:val="0"/>
        <w:adjustRightInd w:val="0"/>
        <w:spacing w:after="180" w:line="240" w:lineRule="auto"/>
        <w:jc w:val="left"/>
        <w:textAlignment w:val="baseline"/>
        <w:rPr>
          <w:rFonts w:eastAsia="Times New Roman"/>
          <w:i/>
          <w:iCs/>
          <w:kern w:val="0"/>
          <w:sz w:val="18"/>
          <w:szCs w:val="18"/>
          <w:lang w:val="en-GB" w:eastAsia="ko-KR"/>
        </w:rPr>
      </w:pPr>
      <w:r>
        <w:rPr>
          <w:rFonts w:eastAsia="Times New Roman"/>
          <w:i/>
          <w:iCs/>
          <w:kern w:val="0"/>
          <w:sz w:val="18"/>
          <w:szCs w:val="18"/>
          <w:lang w:val="en-GB" w:eastAsia="ko-KR"/>
        </w:rPr>
        <w:t>SA2 has been discussing the QoS requirements when one of the RAT types for satellite access is used (NR(LEO), NR(MEO), NR(GEO), NR(OTHERSAT)). SA2 would like to highlight that the current 5QI Table 5.7.4-1 in TS 23.501 that contains the standardised 5QIs has the upper limit of AN-PDB set to 480 ms for GBR 5QIs and 280ms for non-GBR 5QIs. SA2 expectation is that when one or more of the RAT types for satellite access is used in some cases the AN-PDB could exceed these maximum values and therefore SA2 could need to define new 5QI values for certain services that will be operable over satellite access.</w:t>
      </w:r>
    </w:p>
    <w:p>
      <w:pPr>
        <w:widowControl/>
        <w:overflowPunct w:val="0"/>
        <w:autoSpaceDE w:val="0"/>
        <w:autoSpaceDN w:val="0"/>
        <w:adjustRightInd w:val="0"/>
        <w:spacing w:after="180" w:line="240" w:lineRule="auto"/>
        <w:jc w:val="left"/>
        <w:textAlignment w:val="baseline"/>
        <w:rPr>
          <w:rFonts w:eastAsia="Times New Roman"/>
          <w:b/>
          <w:bCs/>
          <w:i/>
          <w:iCs/>
          <w:kern w:val="0"/>
          <w:sz w:val="18"/>
          <w:szCs w:val="18"/>
          <w:lang w:val="en-GB" w:eastAsia="ko-KR"/>
        </w:rPr>
      </w:pPr>
      <w:r>
        <w:rPr>
          <w:rFonts w:eastAsia="Times New Roman"/>
          <w:b/>
          <w:bCs/>
          <w:i/>
          <w:iCs/>
          <w:kern w:val="0"/>
          <w:sz w:val="18"/>
          <w:szCs w:val="18"/>
          <w:lang w:val="en-GB" w:eastAsia="ko-KR"/>
        </w:rPr>
        <w:t>Question 1: SA2 would like to ask RAN1, and RAN2 to indicate what is the expected “lower” and “higher” AN-PDB values when the different RAT types for satellite access is used?</w:t>
      </w:r>
    </w:p>
    <w:p>
      <w:pPr>
        <w:widowControl/>
        <w:overflowPunct w:val="0"/>
        <w:autoSpaceDE w:val="0"/>
        <w:autoSpaceDN w:val="0"/>
        <w:adjustRightInd w:val="0"/>
        <w:spacing w:after="180" w:line="240" w:lineRule="auto"/>
        <w:jc w:val="left"/>
        <w:textAlignment w:val="baseline"/>
        <w:rPr>
          <w:rFonts w:eastAsia="Times New Roman"/>
          <w:i/>
          <w:iCs/>
          <w:kern w:val="0"/>
          <w:sz w:val="18"/>
          <w:szCs w:val="18"/>
          <w:lang w:val="en-GB" w:eastAsia="ko-KR"/>
        </w:rPr>
      </w:pPr>
      <w:r>
        <w:rPr>
          <w:rFonts w:eastAsia="Times New Roman"/>
          <w:i/>
          <w:iCs/>
          <w:kern w:val="0"/>
          <w:sz w:val="18"/>
          <w:szCs w:val="18"/>
          <w:lang w:val="en-GB" w:eastAsia="ko-KR"/>
        </w:rPr>
        <w:t xml:space="preserve">Related to above SA2 would also like to understand whether the expected PER limits (e.g. current upper bound of PER defined is </w:t>
      </w:r>
      <w:r>
        <w:rPr>
          <w:rFonts w:eastAsia="Times New Roman"/>
          <w:i/>
          <w:iCs/>
          <w:kern w:val="0"/>
          <w:sz w:val="18"/>
          <w:szCs w:val="18"/>
          <w:lang w:val="en-GB" w:eastAsia="ja-JP"/>
        </w:rPr>
        <w:t>10</w:t>
      </w:r>
      <w:r>
        <w:rPr>
          <w:rFonts w:eastAsia="Times New Roman"/>
          <w:i/>
          <w:iCs/>
          <w:kern w:val="0"/>
          <w:sz w:val="18"/>
          <w:szCs w:val="18"/>
          <w:vertAlign w:val="superscript"/>
          <w:lang w:val="en-GB" w:eastAsia="ja-JP"/>
        </w:rPr>
        <w:t>-2</w:t>
      </w:r>
      <w:r>
        <w:rPr>
          <w:rFonts w:eastAsia="Times New Roman"/>
          <w:i/>
          <w:iCs/>
          <w:kern w:val="0"/>
          <w:sz w:val="18"/>
          <w:szCs w:val="18"/>
          <w:lang w:val="en-GB" w:eastAsia="ko-KR"/>
        </w:rPr>
        <w:t>) when the different RAT types for satellite access is used.</w:t>
      </w:r>
    </w:p>
    <w:p>
      <w:pPr>
        <w:widowControl/>
        <w:overflowPunct w:val="0"/>
        <w:autoSpaceDE w:val="0"/>
        <w:autoSpaceDN w:val="0"/>
        <w:adjustRightInd w:val="0"/>
        <w:spacing w:after="180" w:line="240" w:lineRule="auto"/>
        <w:jc w:val="left"/>
        <w:textAlignment w:val="baseline"/>
        <w:rPr>
          <w:sz w:val="18"/>
          <w:szCs w:val="18"/>
        </w:rPr>
      </w:pPr>
      <w:r>
        <w:rPr>
          <w:rFonts w:eastAsia="Times New Roman"/>
          <w:b/>
          <w:bCs/>
          <w:i/>
          <w:iCs/>
          <w:kern w:val="0"/>
          <w:sz w:val="18"/>
          <w:szCs w:val="18"/>
          <w:lang w:val="en-GB" w:eastAsia="ko-KR"/>
        </w:rPr>
        <w:t>Question 2: SA2 would like to ask RAN1, and RAN2 to indicate what is the expected upper bound of PER when the different RAT types for satellite access is used?</w:t>
      </w:r>
    </w:p>
    <w:p>
      <w:pPr>
        <w:spacing w:line="240" w:lineRule="auto"/>
        <w:jc w:val="left"/>
        <w:rPr>
          <w:sz w:val="20"/>
          <w:szCs w:val="20"/>
        </w:rPr>
      </w:pPr>
      <w:r>
        <w:rPr>
          <w:rFonts w:hint="eastAsia"/>
          <w:sz w:val="20"/>
          <w:szCs w:val="20"/>
        </w:rPr>
        <w:t>In this paper, we share some understanding on the definition AN-PDB and PER as well as assistance information to SA2.</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pPr>
        <w:pStyle w:val="282"/>
        <w:tabs>
          <w:tab w:val="left" w:pos="1605"/>
        </w:tabs>
        <w:ind w:firstLine="0" w:firstLineChars="0"/>
        <w:rPr>
          <w:sz w:val="20"/>
          <w:szCs w:val="20"/>
        </w:rPr>
      </w:pPr>
      <w:r>
        <w:rPr>
          <w:rFonts w:hint="eastAsia"/>
          <w:sz w:val="20"/>
          <w:szCs w:val="20"/>
        </w:rPr>
        <w:t>The PDB and PER are part of the 5G QoS characteristics, which are used to control QoS forwarding treatment for the QoS Flow and some examples of the standardized 5QI and the associated PDB/PER in NR can be found in the following table [2]:</w:t>
      </w:r>
    </w:p>
    <w:p>
      <w:pPr>
        <w:pStyle w:val="89"/>
        <w:rPr>
          <w:color w:val="auto"/>
        </w:rPr>
      </w:pPr>
      <w:r>
        <w:rPr>
          <w:color w:val="auto"/>
        </w:rPr>
        <w:t>Table 1: Standardized 5QI to QoS characteristics mapping</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60"/>
        <w:gridCol w:w="914"/>
        <w:gridCol w:w="1088"/>
        <w:gridCol w:w="797"/>
        <w:gridCol w:w="1309"/>
        <w:gridCol w:w="1639"/>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7" w:type="dxa"/>
            <w:tcBorders>
              <w:top w:val="single" w:color="auto" w:sz="12" w:space="0"/>
              <w:left w:val="single" w:color="auto" w:sz="12" w:space="0"/>
              <w:bottom w:val="single" w:color="auto" w:sz="12" w:space="0"/>
              <w:right w:val="single" w:color="auto" w:sz="12" w:space="0"/>
            </w:tcBorders>
          </w:tcPr>
          <w:p>
            <w:pPr>
              <w:pStyle w:val="200"/>
            </w:pPr>
            <w:r>
              <w:t>5QI</w:t>
            </w:r>
          </w:p>
          <w:p>
            <w:pPr>
              <w:pStyle w:val="200"/>
            </w:pPr>
            <w:r>
              <w:t>Value</w:t>
            </w:r>
          </w:p>
        </w:tc>
        <w:tc>
          <w:tcPr>
            <w:tcW w:w="1060" w:type="dxa"/>
            <w:tcBorders>
              <w:top w:val="single" w:color="auto" w:sz="12" w:space="0"/>
              <w:left w:val="single" w:color="auto" w:sz="12" w:space="0"/>
              <w:bottom w:val="single" w:color="auto" w:sz="12" w:space="0"/>
              <w:right w:val="single" w:color="auto" w:sz="12" w:space="0"/>
            </w:tcBorders>
          </w:tcPr>
          <w:p>
            <w:pPr>
              <w:pStyle w:val="200"/>
            </w:pPr>
            <w:r>
              <w:t>Resource Type</w:t>
            </w:r>
          </w:p>
        </w:tc>
        <w:tc>
          <w:tcPr>
            <w:tcW w:w="915" w:type="dxa"/>
            <w:tcBorders>
              <w:top w:val="single" w:color="auto" w:sz="12" w:space="0"/>
              <w:left w:val="single" w:color="auto" w:sz="12" w:space="0"/>
              <w:bottom w:val="single" w:color="auto" w:sz="12" w:space="0"/>
              <w:right w:val="single" w:color="auto" w:sz="12" w:space="0"/>
            </w:tcBorders>
          </w:tcPr>
          <w:p>
            <w:pPr>
              <w:pStyle w:val="200"/>
            </w:pPr>
            <w:r>
              <w:t>Default Priority Level</w:t>
            </w:r>
          </w:p>
        </w:tc>
        <w:tc>
          <w:tcPr>
            <w:tcW w:w="1088" w:type="dxa"/>
            <w:tcBorders>
              <w:top w:val="single" w:color="auto" w:sz="12" w:space="0"/>
              <w:left w:val="single" w:color="auto" w:sz="12" w:space="0"/>
              <w:bottom w:val="single" w:color="auto" w:sz="12" w:space="0"/>
              <w:right w:val="single" w:color="auto" w:sz="12" w:space="0"/>
            </w:tcBorders>
          </w:tcPr>
          <w:p>
            <w:pPr>
              <w:pStyle w:val="200"/>
            </w:pPr>
            <w:r>
              <w:t>Packet Delay Budget</w:t>
            </w:r>
          </w:p>
          <w:p>
            <w:pPr>
              <w:pStyle w:val="200"/>
            </w:pPr>
            <w:r>
              <w:t>(NOTE 3)</w:t>
            </w:r>
          </w:p>
        </w:tc>
        <w:tc>
          <w:tcPr>
            <w:tcW w:w="797" w:type="dxa"/>
            <w:tcBorders>
              <w:top w:val="single" w:color="auto" w:sz="12" w:space="0"/>
              <w:left w:val="single" w:color="auto" w:sz="12" w:space="0"/>
              <w:bottom w:val="single" w:color="auto" w:sz="12" w:space="0"/>
              <w:right w:val="single" w:color="auto" w:sz="12" w:space="0"/>
            </w:tcBorders>
          </w:tcPr>
          <w:p>
            <w:pPr>
              <w:pStyle w:val="200"/>
            </w:pPr>
            <w:r>
              <w:t>Packet Error</w:t>
            </w:r>
          </w:p>
          <w:p>
            <w:pPr>
              <w:pStyle w:val="200"/>
            </w:pPr>
            <w:r>
              <w:t xml:space="preserve">Rate </w:t>
            </w:r>
          </w:p>
        </w:tc>
        <w:tc>
          <w:tcPr>
            <w:tcW w:w="1314" w:type="dxa"/>
            <w:tcBorders>
              <w:top w:val="single" w:color="auto" w:sz="12" w:space="0"/>
              <w:left w:val="single" w:color="auto" w:sz="12" w:space="0"/>
              <w:bottom w:val="single" w:color="auto" w:sz="12" w:space="0"/>
              <w:right w:val="single" w:color="auto" w:sz="12" w:space="0"/>
            </w:tcBorders>
          </w:tcPr>
          <w:p>
            <w:pPr>
              <w:pStyle w:val="200"/>
            </w:pPr>
            <w:r>
              <w:t>Default Maximum Data Burst Volume</w:t>
            </w:r>
          </w:p>
          <w:p>
            <w:pPr>
              <w:pStyle w:val="200"/>
            </w:pPr>
            <w:r>
              <w:t>(NOTE 2)</w:t>
            </w:r>
          </w:p>
        </w:tc>
        <w:tc>
          <w:tcPr>
            <w:tcW w:w="1649" w:type="dxa"/>
            <w:tcBorders>
              <w:top w:val="single" w:color="auto" w:sz="12" w:space="0"/>
              <w:left w:val="single" w:color="auto" w:sz="12" w:space="0"/>
              <w:bottom w:val="single" w:color="auto" w:sz="12" w:space="0"/>
              <w:right w:val="single" w:color="auto" w:sz="12" w:space="0"/>
            </w:tcBorders>
          </w:tcPr>
          <w:p>
            <w:pPr>
              <w:pStyle w:val="200"/>
            </w:pPr>
            <w:r>
              <w:t>Default</w:t>
            </w:r>
          </w:p>
          <w:p>
            <w:pPr>
              <w:pStyle w:val="200"/>
            </w:pPr>
            <w:r>
              <w:t>Averaging Window</w:t>
            </w:r>
          </w:p>
        </w:tc>
        <w:tc>
          <w:tcPr>
            <w:tcW w:w="2123" w:type="dxa"/>
            <w:tcBorders>
              <w:top w:val="single" w:color="auto" w:sz="12" w:space="0"/>
              <w:left w:val="single" w:color="auto" w:sz="12" w:space="0"/>
              <w:bottom w:val="single" w:color="auto" w:sz="12" w:space="0"/>
              <w:right w:val="single" w:color="auto" w:sz="12" w:space="0"/>
            </w:tcBorders>
          </w:tcPr>
          <w:p>
            <w:pPr>
              <w:pStyle w:val="200"/>
            </w:pPr>
            <w: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7" w:type="dxa"/>
            <w:tcBorders>
              <w:top w:val="single" w:color="auto" w:sz="12" w:space="0"/>
              <w:left w:val="single" w:color="auto" w:sz="12" w:space="0"/>
              <w:bottom w:val="single" w:color="auto" w:sz="12" w:space="0"/>
              <w:right w:val="single" w:color="auto" w:sz="12" w:space="0"/>
            </w:tcBorders>
          </w:tcPr>
          <w:p>
            <w:pPr>
              <w:pStyle w:val="201"/>
            </w:pPr>
            <w:r>
              <w:t>1</w:t>
            </w:r>
            <w:r>
              <w:br w:type="textWrapping"/>
            </w:r>
          </w:p>
        </w:tc>
        <w:tc>
          <w:tcPr>
            <w:tcW w:w="1060" w:type="dxa"/>
            <w:tcBorders>
              <w:top w:val="single" w:color="auto" w:sz="12" w:space="0"/>
              <w:left w:val="single" w:color="auto" w:sz="12" w:space="0"/>
              <w:bottom w:val="nil"/>
              <w:right w:val="single" w:color="auto" w:sz="12" w:space="0"/>
            </w:tcBorders>
          </w:tcPr>
          <w:p>
            <w:pPr>
              <w:pStyle w:val="201"/>
            </w:pPr>
            <w:r>
              <w:br w:type="textWrapping"/>
            </w:r>
            <w:r>
              <w:t>GBR</w:t>
            </w:r>
          </w:p>
        </w:tc>
        <w:tc>
          <w:tcPr>
            <w:tcW w:w="915" w:type="dxa"/>
            <w:tcBorders>
              <w:top w:val="single" w:color="auto" w:sz="12" w:space="0"/>
              <w:left w:val="single" w:color="auto" w:sz="12" w:space="0"/>
              <w:bottom w:val="single" w:color="auto" w:sz="12" w:space="0"/>
              <w:right w:val="single" w:color="auto" w:sz="12" w:space="0"/>
            </w:tcBorders>
          </w:tcPr>
          <w:p>
            <w:pPr>
              <w:pStyle w:val="201"/>
            </w:pPr>
            <w:r>
              <w:t>20</w:t>
            </w:r>
          </w:p>
        </w:tc>
        <w:tc>
          <w:tcPr>
            <w:tcW w:w="1088" w:type="dxa"/>
            <w:tcBorders>
              <w:top w:val="single" w:color="auto" w:sz="12" w:space="0"/>
              <w:left w:val="single" w:color="auto" w:sz="12" w:space="0"/>
              <w:bottom w:val="single" w:color="auto" w:sz="12" w:space="0"/>
              <w:right w:val="single" w:color="auto" w:sz="12" w:space="0"/>
            </w:tcBorders>
          </w:tcPr>
          <w:p>
            <w:pPr>
              <w:pStyle w:val="201"/>
            </w:pPr>
            <w:r>
              <w:t>100 ms</w:t>
            </w:r>
          </w:p>
          <w:p>
            <w:pPr>
              <w:pStyle w:val="201"/>
            </w:pPr>
            <w:r>
              <w:t>(NOTE 11,</w:t>
            </w:r>
          </w:p>
          <w:p>
            <w:pPr>
              <w:pStyle w:val="201"/>
            </w:pPr>
            <w:r>
              <w:t>NOTE 13)</w:t>
            </w:r>
          </w:p>
        </w:tc>
        <w:tc>
          <w:tcPr>
            <w:tcW w:w="797" w:type="dxa"/>
            <w:tcBorders>
              <w:top w:val="single" w:color="auto" w:sz="12" w:space="0"/>
              <w:left w:val="single" w:color="auto" w:sz="12" w:space="0"/>
              <w:bottom w:val="single" w:color="auto" w:sz="12" w:space="0"/>
              <w:right w:val="single" w:color="auto" w:sz="12" w:space="0"/>
            </w:tcBorders>
          </w:tcPr>
          <w:p>
            <w:pPr>
              <w:pStyle w:val="201"/>
            </w:pPr>
            <w:r>
              <w:t>10</w:t>
            </w:r>
            <w:r>
              <w:rPr>
                <w:sz w:val="22"/>
                <w:vertAlign w:val="superscript"/>
              </w:rPr>
              <w:t>-2</w:t>
            </w:r>
          </w:p>
        </w:tc>
        <w:tc>
          <w:tcPr>
            <w:tcW w:w="1314" w:type="dxa"/>
            <w:tcBorders>
              <w:top w:val="single" w:color="auto" w:sz="12" w:space="0"/>
              <w:left w:val="single" w:color="auto" w:sz="12" w:space="0"/>
              <w:bottom w:val="single" w:color="auto" w:sz="12" w:space="0"/>
              <w:right w:val="single" w:color="auto" w:sz="12" w:space="0"/>
            </w:tcBorders>
          </w:tcPr>
          <w:p>
            <w:pPr>
              <w:pStyle w:val="105"/>
            </w:pPr>
            <w:r>
              <w:t>N/A</w:t>
            </w:r>
          </w:p>
        </w:tc>
        <w:tc>
          <w:tcPr>
            <w:tcW w:w="1649" w:type="dxa"/>
            <w:tcBorders>
              <w:top w:val="single" w:color="auto" w:sz="12" w:space="0"/>
              <w:left w:val="single" w:color="auto" w:sz="12" w:space="0"/>
              <w:bottom w:val="single" w:color="auto" w:sz="12" w:space="0"/>
              <w:right w:val="single" w:color="auto" w:sz="12" w:space="0"/>
            </w:tcBorders>
          </w:tcPr>
          <w:p>
            <w:pPr>
              <w:pStyle w:val="105"/>
            </w:pPr>
            <w:r>
              <w:t>2000 ms</w:t>
            </w:r>
          </w:p>
        </w:tc>
        <w:tc>
          <w:tcPr>
            <w:tcW w:w="2123" w:type="dxa"/>
            <w:tcBorders>
              <w:top w:val="single" w:color="auto" w:sz="12" w:space="0"/>
              <w:left w:val="single" w:color="auto" w:sz="12" w:space="0"/>
              <w:bottom w:val="single" w:color="auto" w:sz="12" w:space="0"/>
              <w:right w:val="single" w:color="auto" w:sz="12" w:space="0"/>
            </w:tcBorders>
          </w:tcPr>
          <w:p>
            <w:pPr>
              <w:pStyle w:val="105"/>
            </w:pPr>
            <w:r>
              <w:t>Conversational Voice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087" w:type="dxa"/>
            <w:tcBorders>
              <w:top w:val="single" w:color="auto" w:sz="12" w:space="0"/>
              <w:left w:val="single" w:color="auto" w:sz="12" w:space="0"/>
              <w:bottom w:val="single" w:color="auto" w:sz="12" w:space="0"/>
              <w:right w:val="single" w:color="auto" w:sz="12" w:space="0"/>
            </w:tcBorders>
          </w:tcPr>
          <w:p>
            <w:pPr>
              <w:pStyle w:val="201"/>
            </w:pPr>
            <w:r>
              <w:t>2</w:t>
            </w:r>
            <w:r>
              <w:br w:type="textWrapping"/>
            </w:r>
          </w:p>
        </w:tc>
        <w:tc>
          <w:tcPr>
            <w:tcW w:w="1060" w:type="dxa"/>
            <w:tcBorders>
              <w:top w:val="nil"/>
              <w:left w:val="single" w:color="auto" w:sz="12" w:space="0"/>
              <w:bottom w:val="nil"/>
              <w:right w:val="single" w:color="auto" w:sz="12" w:space="0"/>
            </w:tcBorders>
          </w:tcPr>
          <w:p>
            <w:pPr>
              <w:pStyle w:val="201"/>
            </w:pPr>
            <w:r>
              <w:t>(NOTE 1)</w:t>
            </w:r>
          </w:p>
        </w:tc>
        <w:tc>
          <w:tcPr>
            <w:tcW w:w="915" w:type="dxa"/>
            <w:tcBorders>
              <w:top w:val="single" w:color="auto" w:sz="12" w:space="0"/>
              <w:left w:val="single" w:color="auto" w:sz="12" w:space="0"/>
              <w:bottom w:val="single" w:color="auto" w:sz="12" w:space="0"/>
              <w:right w:val="single" w:color="auto" w:sz="12" w:space="0"/>
            </w:tcBorders>
          </w:tcPr>
          <w:p>
            <w:pPr>
              <w:pStyle w:val="201"/>
            </w:pPr>
            <w:r>
              <w:t>40</w:t>
            </w:r>
          </w:p>
        </w:tc>
        <w:tc>
          <w:tcPr>
            <w:tcW w:w="1088" w:type="dxa"/>
            <w:tcBorders>
              <w:top w:val="single" w:color="auto" w:sz="12" w:space="0"/>
              <w:left w:val="single" w:color="auto" w:sz="12" w:space="0"/>
              <w:bottom w:val="single" w:color="auto" w:sz="12" w:space="0"/>
              <w:right w:val="single" w:color="auto" w:sz="12" w:space="0"/>
            </w:tcBorders>
          </w:tcPr>
          <w:p>
            <w:pPr>
              <w:pStyle w:val="201"/>
            </w:pPr>
            <w:r>
              <w:t>150 ms</w:t>
            </w:r>
          </w:p>
          <w:p>
            <w:pPr>
              <w:pStyle w:val="201"/>
            </w:pPr>
            <w:r>
              <w:t>(NOTE 11,</w:t>
            </w:r>
          </w:p>
          <w:p>
            <w:pPr>
              <w:pStyle w:val="201"/>
            </w:pPr>
            <w:r>
              <w:t>NOTE 13)</w:t>
            </w:r>
          </w:p>
        </w:tc>
        <w:tc>
          <w:tcPr>
            <w:tcW w:w="797" w:type="dxa"/>
            <w:tcBorders>
              <w:top w:val="single" w:color="auto" w:sz="12" w:space="0"/>
              <w:left w:val="single" w:color="auto" w:sz="12" w:space="0"/>
              <w:bottom w:val="single" w:color="auto" w:sz="12" w:space="0"/>
              <w:right w:val="single" w:color="auto" w:sz="12" w:space="0"/>
            </w:tcBorders>
          </w:tcPr>
          <w:p>
            <w:pPr>
              <w:pStyle w:val="201"/>
            </w:pPr>
            <w:r>
              <w:t>10</w:t>
            </w:r>
            <w:r>
              <w:rPr>
                <w:sz w:val="22"/>
                <w:vertAlign w:val="superscript"/>
              </w:rPr>
              <w:t>-3</w:t>
            </w:r>
          </w:p>
        </w:tc>
        <w:tc>
          <w:tcPr>
            <w:tcW w:w="1314" w:type="dxa"/>
            <w:tcBorders>
              <w:top w:val="single" w:color="auto" w:sz="12" w:space="0"/>
              <w:left w:val="single" w:color="auto" w:sz="12" w:space="0"/>
              <w:bottom w:val="single" w:color="auto" w:sz="12" w:space="0"/>
              <w:right w:val="single" w:color="auto" w:sz="12" w:space="0"/>
            </w:tcBorders>
          </w:tcPr>
          <w:p>
            <w:pPr>
              <w:pStyle w:val="105"/>
            </w:pPr>
            <w:r>
              <w:t>N/A</w:t>
            </w:r>
          </w:p>
        </w:tc>
        <w:tc>
          <w:tcPr>
            <w:tcW w:w="1649" w:type="dxa"/>
            <w:tcBorders>
              <w:top w:val="single" w:color="auto" w:sz="12" w:space="0"/>
              <w:left w:val="single" w:color="auto" w:sz="12" w:space="0"/>
              <w:bottom w:val="single" w:color="auto" w:sz="12" w:space="0"/>
              <w:right w:val="single" w:color="auto" w:sz="12" w:space="0"/>
            </w:tcBorders>
          </w:tcPr>
          <w:p>
            <w:pPr>
              <w:pStyle w:val="105"/>
            </w:pPr>
            <w:r>
              <w:t>2000 ms</w:t>
            </w:r>
          </w:p>
        </w:tc>
        <w:tc>
          <w:tcPr>
            <w:tcW w:w="2123" w:type="dxa"/>
            <w:tcBorders>
              <w:top w:val="single" w:color="auto" w:sz="12" w:space="0"/>
              <w:left w:val="single" w:color="auto" w:sz="12" w:space="0"/>
              <w:bottom w:val="single" w:color="auto" w:sz="12" w:space="0"/>
              <w:right w:val="single" w:color="auto" w:sz="12" w:space="0"/>
            </w:tcBorders>
          </w:tcPr>
          <w:p>
            <w:pPr>
              <w:pStyle w:val="105"/>
            </w:pPr>
            <w:r>
              <w:t>Conversational Video (Live Streaming)</w:t>
            </w:r>
          </w:p>
        </w:tc>
      </w:tr>
    </w:tbl>
    <w:p>
      <w:pPr>
        <w:pStyle w:val="282"/>
        <w:tabs>
          <w:tab w:val="left" w:pos="1605"/>
        </w:tabs>
        <w:ind w:firstLine="0" w:firstLineChars="0"/>
        <w:rPr>
          <w:sz w:val="20"/>
          <w:szCs w:val="20"/>
        </w:rPr>
      </w:pPr>
      <w:r>
        <w:rPr>
          <w:sz w:val="20"/>
          <w:szCs w:val="20"/>
        </w:rPr>
        <w:t>The Packet Delay Budget (PDB) defines an upper bound for the time that a packet may be delayed between the UE and the N6 termination point at the UPF</w:t>
      </w:r>
      <w:r>
        <w:rPr>
          <w:rFonts w:hint="eastAsia"/>
          <w:sz w:val="20"/>
          <w:szCs w:val="20"/>
        </w:rPr>
        <w:t>:</w:t>
      </w:r>
    </w:p>
    <w:p>
      <w:pPr>
        <w:pStyle w:val="282"/>
        <w:tabs>
          <w:tab w:val="left" w:pos="1605"/>
        </w:tabs>
        <w:ind w:firstLine="0" w:firstLineChars="0"/>
        <w:jc w:val="center"/>
        <w:rPr>
          <w:sz w:val="20"/>
          <w:szCs w:val="20"/>
        </w:rPr>
      </w:pPr>
      <w:r>
        <w:rPr>
          <w:rFonts w:hint="eastAsia"/>
          <w:sz w:val="20"/>
          <w:szCs w:val="20"/>
        </w:rPr>
        <w:t>PDB = 5G-AN PDB + CN PDB.</w:t>
      </w:r>
    </w:p>
    <w:p>
      <w:pPr>
        <w:pStyle w:val="282"/>
        <w:tabs>
          <w:tab w:val="left" w:pos="1605"/>
        </w:tabs>
        <w:ind w:firstLine="0" w:firstLineChars="0"/>
        <w:rPr>
          <w:sz w:val="20"/>
          <w:szCs w:val="20"/>
        </w:rPr>
      </w:pPr>
      <w:r>
        <w:rPr>
          <w:rFonts w:hint="eastAsia"/>
          <w:sz w:val="20"/>
          <w:szCs w:val="20"/>
        </w:rPr>
        <w:t xml:space="preserve">The CN PDB represents the delay between any N6 termination point at UPF </w:t>
      </w:r>
      <w:r>
        <w:rPr>
          <w:sz w:val="20"/>
          <w:szCs w:val="20"/>
        </w:rPr>
        <w:t>(for any UPF that may possibly be selected for the PDU Session)</w:t>
      </w:r>
      <w:r>
        <w:rPr>
          <w:rFonts w:hint="eastAsia"/>
          <w:sz w:val="20"/>
          <w:szCs w:val="20"/>
        </w:rPr>
        <w:t xml:space="preserve"> </w:t>
      </w:r>
      <w:r>
        <w:rPr>
          <w:sz w:val="20"/>
          <w:szCs w:val="20"/>
        </w:rPr>
        <w:t xml:space="preserve">and the 5G-AN </w:t>
      </w:r>
      <w:r>
        <w:rPr>
          <w:rFonts w:hint="eastAsia"/>
          <w:sz w:val="20"/>
          <w:szCs w:val="20"/>
        </w:rPr>
        <w:t>while the 5G-AN PDB represents the delay between UE and the 5G-AN.</w:t>
      </w:r>
    </w:p>
    <w:p>
      <w:pPr>
        <w:pStyle w:val="282"/>
        <w:tabs>
          <w:tab w:val="left" w:pos="1605"/>
        </w:tabs>
        <w:ind w:firstLine="0" w:firstLineChars="0"/>
        <w:rPr>
          <w:sz w:val="20"/>
          <w:szCs w:val="20"/>
        </w:rPr>
      </w:pPr>
      <w:r>
        <w:rPr>
          <w:sz w:val="20"/>
          <w:szCs w:val="20"/>
        </w:rPr>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
    <w:p>
      <w:pPr>
        <w:pStyle w:val="282"/>
        <w:tabs>
          <w:tab w:val="left" w:pos="1605"/>
        </w:tabs>
        <w:ind w:firstLine="0" w:firstLineChars="0"/>
        <w:rPr>
          <w:sz w:val="20"/>
          <w:szCs w:val="20"/>
        </w:rPr>
      </w:pPr>
      <w:r>
        <w:rPr>
          <w:rFonts w:hint="eastAsia"/>
          <w:sz w:val="20"/>
          <w:szCs w:val="20"/>
        </w:rPr>
        <w:t xml:space="preserve">As mentioned in the SA2 LS, the upper limit of AN-PDB is set to 480ms for GBR 5QIs and 280ms for non-GBR 5QIs, which cannot be used to control QoS forwarding treatment for some access via high orbit satellites (e.g. GEO) as the delay between UE and the </w:t>
      </w:r>
      <w:r>
        <w:rPr>
          <w:sz w:val="20"/>
          <w:szCs w:val="20"/>
        </w:rPr>
        <w:t>5G-</w:t>
      </w:r>
      <w:r>
        <w:rPr>
          <w:rFonts w:hint="eastAsia"/>
          <w:sz w:val="20"/>
          <w:szCs w:val="20"/>
        </w:rPr>
        <w:t>AN will go beyond such limit. Thus, SA2 is considering to define new 5QI values for certain services that will be operable over satellite access.</w:t>
      </w:r>
    </w:p>
    <w:p>
      <w:pPr>
        <w:pStyle w:val="282"/>
        <w:tabs>
          <w:tab w:val="left" w:pos="1605"/>
        </w:tabs>
        <w:ind w:firstLine="0" w:firstLineChars="0"/>
        <w:rPr>
          <w:sz w:val="20"/>
          <w:szCs w:val="20"/>
        </w:rPr>
      </w:pPr>
      <w:r>
        <w:rPr>
          <w:rFonts w:hint="eastAsia"/>
          <w:sz w:val="20"/>
          <w:szCs w:val="20"/>
        </w:rPr>
        <w:t xml:space="preserve">In our understanding, the value of the PDB and PER varies for different service types and is defined based on the requirements of different services. Before defining NTN specific PDB or PER, </w:t>
      </w:r>
      <w:r>
        <w:rPr>
          <w:sz w:val="20"/>
          <w:szCs w:val="20"/>
        </w:rPr>
        <w:t>the services and corresponding requirements for delay and reliability supported in various NTN scenarios, e.g. GEO/LEO/HAPS based NTN with transparent payload, should be clarified in SA groups</w:t>
      </w:r>
      <w:r>
        <w:rPr>
          <w:rFonts w:hint="eastAsia"/>
          <w:sz w:val="20"/>
          <w:szCs w:val="20"/>
        </w:rPr>
        <w:t>.</w:t>
      </w:r>
    </w:p>
    <w:p>
      <w:pPr>
        <w:pStyle w:val="282"/>
        <w:tabs>
          <w:tab w:val="left" w:pos="1605"/>
        </w:tabs>
        <w:ind w:firstLine="0" w:firstLineChars="0"/>
        <w:rPr>
          <w:b/>
          <w:bCs/>
          <w:sz w:val="20"/>
          <w:szCs w:val="20"/>
        </w:rPr>
      </w:pPr>
      <w:r>
        <w:rPr>
          <w:rFonts w:hint="eastAsia"/>
          <w:b/>
          <w:bCs/>
          <w:sz w:val="20"/>
          <w:szCs w:val="20"/>
        </w:rPr>
        <w:t xml:space="preserve">Observation 1: RAN2 understand the services and corresponding requirements for delay and </w:t>
      </w:r>
      <w:r>
        <w:rPr>
          <w:b/>
          <w:bCs/>
          <w:sz w:val="20"/>
          <w:szCs w:val="20"/>
        </w:rPr>
        <w:t>reliability</w:t>
      </w:r>
      <w:r>
        <w:rPr>
          <w:rFonts w:hint="eastAsia"/>
          <w:b/>
          <w:bCs/>
          <w:sz w:val="20"/>
          <w:szCs w:val="20"/>
        </w:rPr>
        <w:t xml:space="preserve"> supported in various NTN scenarios, e.g. GEO/LEO/HAPS based NTN with transparent payload, should be clarified in SA groups before defining the NTN specific PDB and PER. </w:t>
      </w:r>
    </w:p>
    <w:p>
      <w:pPr>
        <w:pStyle w:val="282"/>
        <w:tabs>
          <w:tab w:val="left" w:pos="1605"/>
        </w:tabs>
        <w:ind w:firstLine="0" w:firstLineChars="0"/>
        <w:rPr>
          <w:sz w:val="20"/>
          <w:szCs w:val="20"/>
        </w:rPr>
      </w:pPr>
      <w:r>
        <w:rPr>
          <w:rFonts w:hint="eastAsia"/>
          <w:sz w:val="20"/>
          <w:szCs w:val="20"/>
        </w:rPr>
        <w:t>Regarding the AD-PDB, which refers to the upper limit of the delay between UE and the AN, some assistance information about the maximum round trip delay in different scenarios can be provided from RAN2</w:t>
      </w:r>
      <w:r>
        <w:rPr>
          <w:sz w:val="20"/>
          <w:szCs w:val="20"/>
        </w:rPr>
        <w:t>’</w:t>
      </w:r>
      <w:r>
        <w:rPr>
          <w:rFonts w:hint="eastAsia"/>
          <w:sz w:val="20"/>
          <w:szCs w:val="20"/>
        </w:rPr>
        <w:t>s perspective.</w:t>
      </w:r>
    </w:p>
    <w:p>
      <w:pPr>
        <w:pStyle w:val="282"/>
        <w:tabs>
          <w:tab w:val="left" w:pos="1605"/>
        </w:tabs>
        <w:ind w:firstLine="0" w:firstLineChars="0"/>
        <w:rPr>
          <w:sz w:val="20"/>
          <w:szCs w:val="20"/>
        </w:rPr>
      </w:pPr>
      <w:r>
        <w:rPr>
          <w:rFonts w:hint="eastAsia"/>
          <w:sz w:val="20"/>
          <w:szCs w:val="20"/>
        </w:rPr>
        <w:t xml:space="preserve">As agreed in RAN2#111e, </w:t>
      </w:r>
      <w:r>
        <w:rPr>
          <w:sz w:val="20"/>
          <w:szCs w:val="20"/>
        </w:rPr>
        <w:t>“</w:t>
      </w:r>
      <w:r>
        <w:rPr>
          <w:rFonts w:hint="eastAsia"/>
          <w:sz w:val="20"/>
          <w:szCs w:val="20"/>
        </w:rPr>
        <w:t>table 4.2-2 of [TR 38.821] is used as a baseline for the normative work, with the removal of the regenerative payload option</w:t>
      </w:r>
      <w:r>
        <w:rPr>
          <w:sz w:val="20"/>
          <w:szCs w:val="20"/>
        </w:rPr>
        <w:t>”</w:t>
      </w:r>
      <w:r>
        <w:rPr>
          <w:rFonts w:hint="eastAsia"/>
          <w:sz w:val="20"/>
          <w:szCs w:val="20"/>
        </w:rPr>
        <w:t xml:space="preserve"> and the maximum round trip delay for the scenarios within R17 working scope can be found in the following table:</w:t>
      </w:r>
    </w:p>
    <w:p>
      <w:pPr>
        <w:pStyle w:val="89"/>
        <w:rPr>
          <w:color w:val="auto"/>
        </w:rPr>
      </w:pPr>
      <w:r>
        <w:rPr>
          <w:color w:val="auto"/>
        </w:rPr>
        <w:t xml:space="preserve">Table </w:t>
      </w:r>
      <w:r>
        <w:rPr>
          <w:rFonts w:hint="eastAsia" w:eastAsia="宋体"/>
          <w:color w:val="auto"/>
          <w:lang w:eastAsia="zh-CN"/>
        </w:rPr>
        <w:t>2</w:t>
      </w:r>
      <w:r>
        <w:rPr>
          <w:color w:val="auto"/>
        </w:rPr>
        <w:t>: Reference scenario parameters</w:t>
      </w:r>
    </w:p>
    <w:tbl>
      <w:tblPr>
        <w:tblStyle w:val="5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7"/>
        <w:gridCol w:w="3728"/>
        <w:gridCol w:w="3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center"/>
          </w:tcPr>
          <w:p>
            <w:pPr>
              <w:pStyle w:val="105"/>
              <w:keepNext w:val="0"/>
              <w:keepLines w:val="0"/>
              <w:rPr>
                <w:rFonts w:ascii="Times New Roman" w:hAnsi="Times New Roman" w:eastAsia="Calibri"/>
              </w:rPr>
            </w:pPr>
            <w:r>
              <w:rPr>
                <w:rFonts w:ascii="Times New Roman" w:hAnsi="Times New Roman" w:eastAsia="Calibri"/>
              </w:rPr>
              <w:t>Scenarios</w:t>
            </w:r>
          </w:p>
        </w:tc>
        <w:tc>
          <w:tcPr>
            <w:tcW w:w="0" w:type="auto"/>
            <w:shd w:val="clear" w:color="auto" w:fill="auto"/>
            <w:vAlign w:val="center"/>
          </w:tcPr>
          <w:p>
            <w:pPr>
              <w:pStyle w:val="105"/>
              <w:keepNext w:val="0"/>
              <w:keepLines w:val="0"/>
              <w:rPr>
                <w:rFonts w:ascii="Times New Roman" w:hAnsi="Times New Roman" w:eastAsia="Calibri"/>
              </w:rPr>
            </w:pPr>
            <w:r>
              <w:rPr>
                <w:rFonts w:ascii="Times New Roman" w:hAnsi="Times New Roman" w:eastAsia="Calibri"/>
              </w:rPr>
              <w:t>GEO based non-terrestrial access network (Scenario A</w:t>
            </w:r>
            <w:r>
              <w:rPr>
                <w:rFonts w:hint="eastAsia" w:ascii="Times New Roman" w:hAnsi="Times New Roman" w:eastAsia="宋体"/>
                <w:lang w:val="en-US"/>
              </w:rPr>
              <w:t xml:space="preserve"> - transparent payload</w:t>
            </w:r>
            <w:r>
              <w:rPr>
                <w:rFonts w:ascii="Times New Roman" w:hAnsi="Times New Roman" w:eastAsia="Calibri"/>
              </w:rPr>
              <w:t>)</w:t>
            </w:r>
          </w:p>
        </w:tc>
        <w:tc>
          <w:tcPr>
            <w:tcW w:w="0" w:type="auto"/>
            <w:shd w:val="clear" w:color="auto" w:fill="auto"/>
            <w:vAlign w:val="center"/>
          </w:tcPr>
          <w:p>
            <w:pPr>
              <w:pStyle w:val="105"/>
              <w:keepNext w:val="0"/>
              <w:keepLines w:val="0"/>
              <w:rPr>
                <w:rFonts w:ascii="Times New Roman" w:hAnsi="Times New Roman" w:eastAsia="Calibri"/>
              </w:rPr>
            </w:pPr>
            <w:r>
              <w:rPr>
                <w:rFonts w:ascii="Times New Roman" w:hAnsi="Times New Roman" w:eastAsia="Calibri"/>
              </w:rPr>
              <w:t>LEO based non-terrestrial access network (Scenario C</w:t>
            </w:r>
            <w:r>
              <w:rPr>
                <w:rFonts w:hint="eastAsia" w:ascii="Times New Roman" w:hAnsi="Times New Roman" w:eastAsia="宋体"/>
                <w:lang w:val="en-US"/>
              </w:rPr>
              <w:t xml:space="preserve"> - transparent payload</w:t>
            </w:r>
            <w:r>
              <w:rPr>
                <w:rFonts w:ascii="Times New Roman" w:hAnsi="Times New Roman" w:eastAsia="Calibr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center"/>
          </w:tcPr>
          <w:p>
            <w:pPr>
              <w:pStyle w:val="105"/>
              <w:keepNext w:val="0"/>
              <w:keepLines w:val="0"/>
              <w:rPr>
                <w:rFonts w:ascii="Times New Roman" w:hAnsi="Times New Roman" w:eastAsia="Calibri"/>
              </w:rPr>
            </w:pPr>
            <w:r>
              <w:rPr>
                <w:rFonts w:ascii="Times New Roman" w:hAnsi="Times New Roman" w:eastAsia="Calibri"/>
              </w:rPr>
              <w:t>Altitude</w:t>
            </w:r>
          </w:p>
        </w:tc>
        <w:tc>
          <w:tcPr>
            <w:tcW w:w="0" w:type="auto"/>
            <w:shd w:val="clear" w:color="auto" w:fill="auto"/>
            <w:vAlign w:val="center"/>
          </w:tcPr>
          <w:p>
            <w:pPr>
              <w:pStyle w:val="105"/>
              <w:keepNext w:val="0"/>
              <w:keepLines w:val="0"/>
              <w:rPr>
                <w:rFonts w:ascii="Times New Roman" w:hAnsi="Times New Roman" w:eastAsia="Calibri"/>
              </w:rPr>
            </w:pPr>
            <w:r>
              <w:rPr>
                <w:rFonts w:ascii="Times New Roman" w:hAnsi="Times New Roman" w:eastAsia="Calibri"/>
              </w:rPr>
              <w:t>35,786 km</w:t>
            </w:r>
          </w:p>
        </w:tc>
        <w:tc>
          <w:tcPr>
            <w:tcW w:w="0" w:type="auto"/>
            <w:shd w:val="clear" w:color="auto" w:fill="auto"/>
            <w:vAlign w:val="center"/>
          </w:tcPr>
          <w:p>
            <w:pPr>
              <w:pStyle w:val="105"/>
              <w:keepNext w:val="0"/>
              <w:keepLines w:val="0"/>
              <w:rPr>
                <w:rFonts w:ascii="Times New Roman" w:hAnsi="Times New Roman" w:eastAsia="Calibri"/>
              </w:rPr>
            </w:pPr>
            <w:r>
              <w:rPr>
                <w:rFonts w:ascii="Times New Roman" w:hAnsi="Times New Roman" w:eastAsia="Calibri"/>
              </w:rPr>
              <w:t>600 km</w:t>
            </w:r>
          </w:p>
          <w:p>
            <w:pPr>
              <w:pStyle w:val="105"/>
              <w:keepNext w:val="0"/>
              <w:keepLines w:val="0"/>
              <w:rPr>
                <w:rFonts w:ascii="Times New Roman" w:hAnsi="Times New Roman" w:eastAsia="Calibri"/>
              </w:rPr>
            </w:pPr>
            <w:r>
              <w:rPr>
                <w:rFonts w:ascii="Times New Roman" w:hAnsi="Times New Roman" w:eastAsia="Calibri"/>
              </w:rPr>
              <w:t>1,200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D1E8B3" w:themeFill="accent5" w:themeFillTint="66"/>
            <w:vAlign w:val="center"/>
          </w:tcPr>
          <w:p>
            <w:pPr>
              <w:pStyle w:val="105"/>
              <w:keepNext w:val="0"/>
              <w:keepLines w:val="0"/>
              <w:rPr>
                <w:rFonts w:ascii="Times New Roman" w:hAnsi="Times New Roman" w:eastAsia="Calibri"/>
              </w:rPr>
            </w:pPr>
            <w:r>
              <w:rPr>
                <w:rFonts w:ascii="Times New Roman" w:hAnsi="Times New Roman" w:eastAsia="Calibri"/>
              </w:rPr>
              <w:t>Max Round Trip Delay (propagation delay only)</w:t>
            </w:r>
          </w:p>
        </w:tc>
        <w:tc>
          <w:tcPr>
            <w:tcW w:w="0" w:type="auto"/>
            <w:shd w:val="clear" w:color="auto" w:fill="D1E8B3" w:themeFill="accent5" w:themeFillTint="66"/>
            <w:vAlign w:val="center"/>
          </w:tcPr>
          <w:p>
            <w:pPr>
              <w:pStyle w:val="105"/>
              <w:keepNext w:val="0"/>
              <w:keepLines w:val="0"/>
              <w:rPr>
                <w:rFonts w:ascii="Times New Roman" w:hAnsi="Times New Roman" w:eastAsia="Calibri"/>
              </w:rPr>
            </w:pPr>
            <w:r>
              <w:rPr>
                <w:rFonts w:ascii="Times New Roman" w:hAnsi="Times New Roman" w:eastAsia="Calibri"/>
              </w:rPr>
              <w:t>541.46 ms (service and feeder links)</w:t>
            </w:r>
          </w:p>
        </w:tc>
        <w:tc>
          <w:tcPr>
            <w:tcW w:w="0" w:type="auto"/>
            <w:shd w:val="clear" w:color="auto" w:fill="D1E8B3" w:themeFill="accent5" w:themeFillTint="66"/>
            <w:vAlign w:val="center"/>
          </w:tcPr>
          <w:p>
            <w:pPr>
              <w:pStyle w:val="105"/>
              <w:keepNext w:val="0"/>
              <w:keepLines w:val="0"/>
              <w:rPr>
                <w:rFonts w:ascii="Times New Roman" w:hAnsi="Times New Roman" w:eastAsia="Calibri"/>
              </w:rPr>
            </w:pPr>
            <w:r>
              <w:rPr>
                <w:rFonts w:ascii="Times New Roman" w:hAnsi="Times New Roman" w:eastAsia="Calibri"/>
              </w:rPr>
              <w:t>Service and feeder links:</w:t>
            </w:r>
          </w:p>
          <w:p>
            <w:pPr>
              <w:pStyle w:val="105"/>
              <w:keepNext w:val="0"/>
              <w:keepLines w:val="0"/>
              <w:rPr>
                <w:rFonts w:ascii="Times New Roman" w:hAnsi="Times New Roman" w:eastAsia="Calibri"/>
              </w:rPr>
            </w:pPr>
            <w:r>
              <w:rPr>
                <w:rFonts w:ascii="Times New Roman" w:hAnsi="Times New Roman" w:eastAsia="Calibri"/>
              </w:rPr>
              <w:t>25.77 ms (600km)</w:t>
            </w:r>
          </w:p>
          <w:p>
            <w:pPr>
              <w:pStyle w:val="105"/>
              <w:keepNext w:val="0"/>
              <w:keepLines w:val="0"/>
              <w:rPr>
                <w:rFonts w:ascii="Times New Roman" w:hAnsi="Times New Roman"/>
              </w:rPr>
            </w:pPr>
            <w:r>
              <w:rPr>
                <w:rFonts w:ascii="Times New Roman" w:hAnsi="Times New Roman" w:eastAsia="Calibri"/>
              </w:rPr>
              <w:t>41.77 ms (1200km)</w:t>
            </w:r>
          </w:p>
        </w:tc>
      </w:tr>
    </w:tbl>
    <w:p>
      <w:pPr>
        <w:pStyle w:val="282"/>
        <w:tabs>
          <w:tab w:val="left" w:pos="1605"/>
        </w:tabs>
        <w:ind w:firstLine="0" w:firstLineChars="0"/>
        <w:rPr>
          <w:lang w:val="fr-FR" w:eastAsia="fr-FR"/>
        </w:rPr>
      </w:pPr>
      <w:r>
        <w:drawing>
          <wp:inline distT="0" distB="0" distL="0" distR="0">
            <wp:extent cx="6122035" cy="2745105"/>
            <wp:effectExtent l="0" t="0" r="1206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2035" cy="2745198"/>
                    </a:xfrm>
                    <a:prstGeom prst="rect">
                      <a:avLst/>
                    </a:prstGeom>
                    <a:noFill/>
                    <a:ln>
                      <a:noFill/>
                    </a:ln>
                  </pic:spPr>
                </pic:pic>
              </a:graphicData>
            </a:graphic>
          </wp:inline>
        </w:drawing>
      </w:r>
    </w:p>
    <w:p>
      <w:pPr>
        <w:pStyle w:val="282"/>
        <w:tabs>
          <w:tab w:val="left" w:pos="1605"/>
        </w:tabs>
        <w:ind w:firstLine="0" w:firstLineChars="0"/>
        <w:jc w:val="center"/>
        <w:rPr>
          <w:sz w:val="20"/>
          <w:szCs w:val="20"/>
        </w:rPr>
      </w:pPr>
      <w:r>
        <w:rPr>
          <w:rFonts w:hint="eastAsia"/>
          <w:sz w:val="20"/>
          <w:szCs w:val="20"/>
        </w:rPr>
        <w:t>Figure 1: Overall Architecture of a NTN</w:t>
      </w:r>
    </w:p>
    <w:p>
      <w:pPr>
        <w:pStyle w:val="282"/>
        <w:tabs>
          <w:tab w:val="left" w:pos="1605"/>
        </w:tabs>
        <w:ind w:firstLine="0" w:firstLineChars="0"/>
        <w:rPr>
          <w:sz w:val="20"/>
          <w:szCs w:val="20"/>
        </w:rPr>
      </w:pPr>
      <w:r>
        <w:rPr>
          <w:rFonts w:hint="eastAsia"/>
          <w:sz w:val="20"/>
          <w:szCs w:val="20"/>
        </w:rPr>
        <w:t>As shown in the above figure, the max round trip delay in table 2 refers to the delay in service link and feeder</w:t>
      </w:r>
      <w:r>
        <w:rPr>
          <w:sz w:val="20"/>
          <w:szCs w:val="20"/>
        </w:rPr>
        <w:t xml:space="preserve"> </w:t>
      </w:r>
      <w:r>
        <w:rPr>
          <w:rFonts w:hint="eastAsia"/>
          <w:sz w:val="20"/>
          <w:szCs w:val="20"/>
        </w:rPr>
        <w:t>link for the transparent payload. For the case when the gNB is co-located at the GW, which is considered with higher priority in RAN2, the transmission delay between gNB and the GW can be ignored.</w:t>
      </w:r>
    </w:p>
    <w:p>
      <w:pPr>
        <w:pStyle w:val="282"/>
        <w:tabs>
          <w:tab w:val="left" w:pos="1605"/>
        </w:tabs>
        <w:ind w:firstLine="0" w:firstLineChars="0"/>
        <w:rPr>
          <w:sz w:val="20"/>
          <w:szCs w:val="20"/>
        </w:rPr>
      </w:pPr>
      <w:r>
        <w:rPr>
          <w:rFonts w:hint="eastAsia"/>
          <w:sz w:val="20"/>
          <w:szCs w:val="20"/>
        </w:rPr>
        <w:t xml:space="preserve">For </w:t>
      </w:r>
      <w:r>
        <w:rPr>
          <w:sz w:val="20"/>
          <w:szCs w:val="20"/>
        </w:rPr>
        <w:t>LEO/MEO/GEO</w:t>
      </w:r>
      <w:r>
        <w:rPr>
          <w:rFonts w:hint="eastAsia"/>
          <w:sz w:val="20"/>
          <w:szCs w:val="20"/>
        </w:rPr>
        <w:t xml:space="preserve"> based NTN</w:t>
      </w:r>
      <w:r>
        <w:rPr>
          <w:sz w:val="20"/>
          <w:szCs w:val="20"/>
        </w:rPr>
        <w:t xml:space="preserve">, the maximum round trip delay </w:t>
      </w:r>
      <w:r>
        <w:rPr>
          <w:rFonts w:hint="eastAsia"/>
          <w:sz w:val="20"/>
          <w:szCs w:val="20"/>
        </w:rPr>
        <w:t>between UE and the NTN-GW</w:t>
      </w:r>
      <w:r>
        <w:rPr>
          <w:sz w:val="20"/>
          <w:szCs w:val="20"/>
        </w:rPr>
        <w:t xml:space="preserve"> would be 25.77ms (600km-LEO) ~ 541.46ms (35786km-GEO)</w:t>
      </w:r>
      <w:r>
        <w:rPr>
          <w:rFonts w:hint="eastAsia"/>
          <w:sz w:val="20"/>
          <w:szCs w:val="20"/>
        </w:rPr>
        <w:t>, which can be taken into account when defining the AD-PDB at SA2.</w:t>
      </w:r>
    </w:p>
    <w:p>
      <w:pPr>
        <w:pStyle w:val="282"/>
        <w:tabs>
          <w:tab w:val="left" w:pos="1605"/>
        </w:tabs>
        <w:ind w:firstLine="0" w:firstLineChars="0"/>
        <w:rPr>
          <w:sz w:val="20"/>
          <w:szCs w:val="20"/>
        </w:rPr>
      </w:pPr>
      <w:r>
        <w:rPr>
          <w:rFonts w:hint="eastAsia"/>
          <w:sz w:val="20"/>
          <w:szCs w:val="20"/>
        </w:rPr>
        <w:t>In addition, NTN payload embarked using HAPS, at an altitude between 8 and 50 km, is also within the Rel-17 working scope in RAN. In our understanding, the delay between UE and the gNB for HAPS based NTN would be close to that in TN network.</w:t>
      </w:r>
    </w:p>
    <w:p>
      <w:pPr>
        <w:pStyle w:val="282"/>
        <w:tabs>
          <w:tab w:val="left" w:pos="1605"/>
        </w:tabs>
        <w:ind w:firstLine="0" w:firstLineChars="0"/>
        <w:rPr>
          <w:b/>
          <w:bCs/>
          <w:sz w:val="20"/>
          <w:szCs w:val="20"/>
        </w:rPr>
      </w:pPr>
      <w:r>
        <w:rPr>
          <w:rFonts w:hint="eastAsia"/>
          <w:b/>
          <w:bCs/>
          <w:sz w:val="20"/>
          <w:szCs w:val="20"/>
        </w:rPr>
        <w:t>Observation 2: The maximum round trip delay between UE and the NTN-GW would be 25.77ms (600km-LEO based NTN with transparent payload) ~ 541.46ms (35786km-GEO based NTN with transparent payload), which can be taken into account when defining the AD-PDB at SA2.</w:t>
      </w:r>
    </w:p>
    <w:p>
      <w:pPr>
        <w:pStyle w:val="282"/>
        <w:tabs>
          <w:tab w:val="left" w:pos="1605"/>
        </w:tabs>
        <w:ind w:firstLine="0" w:firstLineChars="0"/>
        <w:rPr>
          <w:b/>
          <w:bCs/>
          <w:sz w:val="20"/>
          <w:szCs w:val="20"/>
        </w:rPr>
      </w:pPr>
      <w:r>
        <w:rPr>
          <w:rFonts w:hint="eastAsia"/>
          <w:b/>
          <w:bCs/>
          <w:sz w:val="20"/>
          <w:szCs w:val="20"/>
        </w:rPr>
        <w:t xml:space="preserve">Observation 3: The </w:t>
      </w:r>
      <w:r>
        <w:rPr>
          <w:b/>
          <w:bCs/>
          <w:sz w:val="20"/>
          <w:szCs w:val="20"/>
        </w:rPr>
        <w:t>propagation</w:t>
      </w:r>
      <w:r>
        <w:rPr>
          <w:rFonts w:hint="eastAsia"/>
          <w:b/>
          <w:bCs/>
          <w:sz w:val="20"/>
          <w:szCs w:val="20"/>
        </w:rPr>
        <w:t xml:space="preserve"> delay in HAPS based NTN </w:t>
      </w:r>
      <w:r>
        <w:rPr>
          <w:b/>
          <w:bCs/>
          <w:sz w:val="20"/>
          <w:szCs w:val="20"/>
        </w:rPr>
        <w:t xml:space="preserve">with transparent payload </w:t>
      </w:r>
      <w:r>
        <w:rPr>
          <w:rFonts w:hint="eastAsia"/>
          <w:b/>
          <w:bCs/>
          <w:sz w:val="20"/>
          <w:szCs w:val="20"/>
        </w:rPr>
        <w:t>would be similar to that in the TN.</w:t>
      </w:r>
    </w:p>
    <w:p>
      <w:pPr>
        <w:pStyle w:val="282"/>
        <w:tabs>
          <w:tab w:val="left" w:pos="1605"/>
        </w:tabs>
        <w:ind w:firstLine="0" w:firstLineChars="0"/>
        <w:rPr>
          <w:sz w:val="20"/>
          <w:szCs w:val="20"/>
        </w:rPr>
      </w:pPr>
      <w:r>
        <w:rPr>
          <w:rFonts w:hint="eastAsia"/>
          <w:sz w:val="20"/>
          <w:szCs w:val="20"/>
        </w:rPr>
        <w:t>Regarding PER, although there ha</w:t>
      </w:r>
      <w:r>
        <w:rPr>
          <w:sz w:val="20"/>
          <w:szCs w:val="20"/>
        </w:rPr>
        <w:t xml:space="preserve">ve </w:t>
      </w:r>
      <w:r>
        <w:rPr>
          <w:rFonts w:hint="eastAsia"/>
          <w:sz w:val="20"/>
          <w:szCs w:val="20"/>
        </w:rPr>
        <w:t>been agreements made in RAN1 and RAN2 on disabling HARQ feedback for downlink, the HARQ retransmission and RLC ARQ would still be supported in NTN to ensure the reliability. Thus, we understand the PER for a certain service, if supported in NTN, would be similar to the corresponding PER in TN.</w:t>
      </w:r>
    </w:p>
    <w:p>
      <w:pPr>
        <w:pStyle w:val="282"/>
        <w:tabs>
          <w:tab w:val="left" w:pos="1605"/>
        </w:tabs>
        <w:ind w:firstLine="0" w:firstLineChars="0"/>
        <w:rPr>
          <w:b/>
          <w:bCs/>
          <w:sz w:val="20"/>
          <w:szCs w:val="20"/>
        </w:rPr>
      </w:pPr>
      <w:r>
        <w:rPr>
          <w:rFonts w:hint="eastAsia"/>
          <w:b/>
          <w:bCs/>
          <w:sz w:val="20"/>
          <w:szCs w:val="20"/>
        </w:rPr>
        <w:t>Observation 4: The PER for a certain service, if supported in NTN, would be similar to the corresponding PER in TN.</w:t>
      </w:r>
    </w:p>
    <w:p>
      <w:pPr>
        <w:pStyle w:val="282"/>
        <w:tabs>
          <w:tab w:val="left" w:pos="1605"/>
        </w:tabs>
        <w:ind w:firstLine="0" w:firstLineChars="0"/>
        <w:rPr>
          <w:b/>
          <w:bCs/>
          <w:sz w:val="20"/>
          <w:szCs w:val="20"/>
        </w:rPr>
      </w:pPr>
      <w:r>
        <w:rPr>
          <w:rFonts w:hint="eastAsia"/>
          <w:b/>
          <w:bCs/>
          <w:sz w:val="20"/>
          <w:szCs w:val="20"/>
        </w:rPr>
        <w:t>Proposal: A reply LS is sent to SA2 to reflect the above observations from RAN2</w:t>
      </w:r>
      <w:r>
        <w:rPr>
          <w:b/>
          <w:bCs/>
          <w:sz w:val="20"/>
          <w:szCs w:val="20"/>
        </w:rPr>
        <w:t>’</w:t>
      </w:r>
      <w:r>
        <w:rPr>
          <w:rFonts w:hint="eastAsia"/>
          <w:b/>
          <w:bCs/>
          <w:sz w:val="20"/>
          <w:szCs w:val="20"/>
        </w:rPr>
        <w:t>s perspective</w:t>
      </w:r>
      <w:r>
        <w:rPr>
          <w:b/>
          <w:bCs/>
          <w:sz w:val="20"/>
          <w:szCs w:val="20"/>
        </w:rPr>
        <w:t xml:space="preserve"> [3]</w:t>
      </w:r>
      <w:r>
        <w:rPr>
          <w:rFonts w:hint="eastAsia"/>
          <w:b/>
          <w:bCs/>
          <w:sz w:val="20"/>
          <w:szCs w:val="20"/>
        </w:rPr>
        <w:t>.</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pStyle w:val="282"/>
        <w:tabs>
          <w:tab w:val="left" w:pos="1605"/>
        </w:tabs>
        <w:ind w:firstLine="0" w:firstLineChars="0"/>
        <w:rPr>
          <w:b/>
          <w:bCs/>
          <w:sz w:val="20"/>
          <w:szCs w:val="20"/>
        </w:rPr>
      </w:pPr>
      <w:r>
        <w:rPr>
          <w:rFonts w:hint="eastAsia"/>
          <w:b/>
          <w:bCs/>
          <w:sz w:val="20"/>
          <w:szCs w:val="20"/>
        </w:rPr>
        <w:t xml:space="preserve">Observation 1: RAN2 understand the services and corresponding requirements for delay and </w:t>
      </w:r>
      <w:r>
        <w:rPr>
          <w:b/>
          <w:bCs/>
          <w:sz w:val="20"/>
          <w:szCs w:val="20"/>
        </w:rPr>
        <w:t>reliability</w:t>
      </w:r>
      <w:r>
        <w:rPr>
          <w:rFonts w:hint="eastAsia"/>
          <w:b/>
          <w:bCs/>
          <w:sz w:val="20"/>
          <w:szCs w:val="20"/>
        </w:rPr>
        <w:t xml:space="preserve"> supported in various NTN scenarios, e.g. GEO/LEO/HAPS based NTN with transparent payload, should be clarified in SA groups before defining the NTN specific PDB and PER. </w:t>
      </w:r>
    </w:p>
    <w:p>
      <w:pPr>
        <w:pStyle w:val="282"/>
        <w:tabs>
          <w:tab w:val="left" w:pos="1605"/>
        </w:tabs>
        <w:ind w:firstLine="0" w:firstLineChars="0"/>
        <w:rPr>
          <w:b/>
          <w:bCs/>
          <w:sz w:val="20"/>
          <w:szCs w:val="20"/>
        </w:rPr>
      </w:pPr>
      <w:r>
        <w:rPr>
          <w:rFonts w:hint="eastAsia"/>
          <w:b/>
          <w:bCs/>
          <w:sz w:val="20"/>
          <w:szCs w:val="20"/>
        </w:rPr>
        <w:t>Observation 2: The maximum round trip delay between UE and the NTN-GW would be 25.77ms (600km-LEO based NTN with transparent payload) ~ 541.46ms (35786km-GEO based NTN with transparent payload), which can be taken into account when defining the AD-PDB at SA2.</w:t>
      </w:r>
    </w:p>
    <w:p>
      <w:pPr>
        <w:pStyle w:val="282"/>
        <w:tabs>
          <w:tab w:val="left" w:pos="1605"/>
        </w:tabs>
        <w:ind w:firstLine="0" w:firstLineChars="0"/>
        <w:rPr>
          <w:b/>
          <w:bCs/>
          <w:sz w:val="20"/>
          <w:szCs w:val="20"/>
        </w:rPr>
      </w:pPr>
      <w:r>
        <w:rPr>
          <w:rFonts w:hint="eastAsia"/>
          <w:b/>
          <w:bCs/>
          <w:sz w:val="20"/>
          <w:szCs w:val="20"/>
        </w:rPr>
        <w:t xml:space="preserve">Observation 3: The </w:t>
      </w:r>
      <w:r>
        <w:rPr>
          <w:b/>
          <w:bCs/>
          <w:sz w:val="20"/>
          <w:szCs w:val="20"/>
        </w:rPr>
        <w:t>propagation</w:t>
      </w:r>
      <w:r>
        <w:rPr>
          <w:rFonts w:hint="eastAsia"/>
          <w:b/>
          <w:bCs/>
          <w:sz w:val="20"/>
          <w:szCs w:val="20"/>
        </w:rPr>
        <w:t xml:space="preserve"> delay in HAPS based NTN </w:t>
      </w:r>
      <w:r>
        <w:rPr>
          <w:b/>
          <w:bCs/>
          <w:sz w:val="20"/>
          <w:szCs w:val="20"/>
        </w:rPr>
        <w:t xml:space="preserve">with transparent payload </w:t>
      </w:r>
      <w:r>
        <w:rPr>
          <w:rFonts w:hint="eastAsia"/>
          <w:b/>
          <w:bCs/>
          <w:sz w:val="20"/>
          <w:szCs w:val="20"/>
        </w:rPr>
        <w:t>would be similar to that in the TN.</w:t>
      </w:r>
    </w:p>
    <w:p>
      <w:pPr>
        <w:pStyle w:val="282"/>
        <w:tabs>
          <w:tab w:val="left" w:pos="1605"/>
        </w:tabs>
        <w:ind w:firstLine="0" w:firstLineChars="0"/>
        <w:rPr>
          <w:b/>
          <w:bCs/>
          <w:sz w:val="20"/>
          <w:szCs w:val="20"/>
        </w:rPr>
      </w:pPr>
      <w:r>
        <w:rPr>
          <w:rFonts w:hint="eastAsia"/>
          <w:b/>
          <w:bCs/>
          <w:sz w:val="20"/>
          <w:szCs w:val="20"/>
        </w:rPr>
        <w:t>Observation 4: The PER for a certain service, if supported in NTN, would be similar to the corresponding PER in TN.</w:t>
      </w:r>
    </w:p>
    <w:p>
      <w:pPr>
        <w:pStyle w:val="282"/>
        <w:tabs>
          <w:tab w:val="left" w:pos="1605"/>
        </w:tabs>
        <w:ind w:firstLine="0" w:firstLineChars="0"/>
        <w:rPr>
          <w:b/>
          <w:bCs/>
          <w:sz w:val="20"/>
          <w:szCs w:val="20"/>
        </w:rPr>
      </w:pPr>
      <w:r>
        <w:rPr>
          <w:rFonts w:hint="eastAsia"/>
          <w:b/>
          <w:bCs/>
          <w:sz w:val="20"/>
          <w:szCs w:val="20"/>
        </w:rPr>
        <w:t>Proposal: A reply LS is sent to SA2 to reflect the above observations from RAN2</w:t>
      </w:r>
      <w:r>
        <w:rPr>
          <w:b/>
          <w:bCs/>
          <w:sz w:val="20"/>
          <w:szCs w:val="20"/>
        </w:rPr>
        <w:t>’</w:t>
      </w:r>
      <w:r>
        <w:rPr>
          <w:rFonts w:hint="eastAsia"/>
          <w:b/>
          <w:bCs/>
          <w:sz w:val="20"/>
          <w:szCs w:val="20"/>
        </w:rPr>
        <w:t>s perspective.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spacing w:line="260" w:lineRule="auto"/>
        <w:ind w:firstLineChars="0"/>
        <w:jc w:val="left"/>
        <w:rPr>
          <w:sz w:val="20"/>
          <w:szCs w:val="20"/>
        </w:rPr>
      </w:pPr>
      <w:r>
        <w:rPr>
          <w:rFonts w:hint="eastAsia"/>
          <w:sz w:val="20"/>
          <w:szCs w:val="20"/>
        </w:rPr>
        <w:t>R2-2100067_S2-2009225_AN-PDB and PER targets for satellite access</w:t>
      </w:r>
    </w:p>
    <w:p>
      <w:pPr>
        <w:pStyle w:val="68"/>
        <w:numPr>
          <w:ilvl w:val="0"/>
          <w:numId w:val="4"/>
        </w:numPr>
        <w:spacing w:line="260" w:lineRule="auto"/>
        <w:ind w:firstLineChars="0"/>
        <w:jc w:val="left"/>
        <w:rPr>
          <w:sz w:val="20"/>
          <w:szCs w:val="20"/>
        </w:rPr>
      </w:pPr>
      <w:r>
        <w:rPr>
          <w:rFonts w:hint="eastAsia"/>
          <w:sz w:val="20"/>
          <w:szCs w:val="20"/>
        </w:rPr>
        <w:t>TS 23.501</w:t>
      </w:r>
    </w:p>
    <w:p>
      <w:pPr>
        <w:pStyle w:val="68"/>
        <w:numPr>
          <w:ilvl w:val="0"/>
          <w:numId w:val="4"/>
        </w:numPr>
        <w:spacing w:line="260" w:lineRule="auto"/>
        <w:ind w:firstLineChars="0"/>
        <w:jc w:val="left"/>
        <w:rPr>
          <w:sz w:val="20"/>
          <w:szCs w:val="20"/>
        </w:rPr>
      </w:pPr>
      <w:r>
        <w:rPr>
          <w:rFonts w:hint="eastAsia"/>
          <w:sz w:val="20"/>
          <w:szCs w:val="20"/>
        </w:rPr>
        <w:t>R2-2101200</w:t>
      </w:r>
      <w:r>
        <w:rPr>
          <w:rFonts w:hint="eastAsia"/>
          <w:sz w:val="20"/>
          <w:szCs w:val="20"/>
          <w:lang w:val="en-US" w:eastAsia="zh-CN"/>
        </w:rPr>
        <w:t>_</w:t>
      </w:r>
      <w:bookmarkStart w:id="3" w:name="_GoBack"/>
      <w:bookmarkEnd w:id="3"/>
      <w:r>
        <w:rPr>
          <w:rFonts w:hint="eastAsia"/>
          <w:sz w:val="20"/>
          <w:szCs w:val="20"/>
        </w:rPr>
        <w:t>draft reply LS on AN-PDB and PER targets for satellite access</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72E"/>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2CE"/>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3FF0"/>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0B73"/>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CDB"/>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7F7"/>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D535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5D1"/>
    <w:rsid w:val="00E66C3B"/>
    <w:rsid w:val="00E71B00"/>
    <w:rsid w:val="00E73C7F"/>
    <w:rsid w:val="00E740D9"/>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007"/>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17D95"/>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3F3540"/>
    <w:rsid w:val="01427510"/>
    <w:rsid w:val="014D5FC8"/>
    <w:rsid w:val="015C7570"/>
    <w:rsid w:val="016731E8"/>
    <w:rsid w:val="016B6F39"/>
    <w:rsid w:val="01724323"/>
    <w:rsid w:val="0184373D"/>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6071A"/>
    <w:rsid w:val="02094915"/>
    <w:rsid w:val="020D3519"/>
    <w:rsid w:val="02102D34"/>
    <w:rsid w:val="02105BCC"/>
    <w:rsid w:val="0213188C"/>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54649"/>
    <w:rsid w:val="03287029"/>
    <w:rsid w:val="032C2B70"/>
    <w:rsid w:val="033D7BE5"/>
    <w:rsid w:val="033F5DF4"/>
    <w:rsid w:val="034058DA"/>
    <w:rsid w:val="03453589"/>
    <w:rsid w:val="034F6376"/>
    <w:rsid w:val="0392525D"/>
    <w:rsid w:val="03972281"/>
    <w:rsid w:val="039F12E8"/>
    <w:rsid w:val="03A13769"/>
    <w:rsid w:val="03A20738"/>
    <w:rsid w:val="03A90B72"/>
    <w:rsid w:val="03CD3963"/>
    <w:rsid w:val="03D86161"/>
    <w:rsid w:val="03E42014"/>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194295"/>
    <w:rsid w:val="052630A3"/>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E2B02"/>
    <w:rsid w:val="08662E4E"/>
    <w:rsid w:val="087913CA"/>
    <w:rsid w:val="087A3407"/>
    <w:rsid w:val="087E5F70"/>
    <w:rsid w:val="0886083E"/>
    <w:rsid w:val="088B5031"/>
    <w:rsid w:val="088B6321"/>
    <w:rsid w:val="088F268A"/>
    <w:rsid w:val="089C68F2"/>
    <w:rsid w:val="08A95408"/>
    <w:rsid w:val="08B151BF"/>
    <w:rsid w:val="08B22719"/>
    <w:rsid w:val="08B51BA5"/>
    <w:rsid w:val="08BE5416"/>
    <w:rsid w:val="08C85AD5"/>
    <w:rsid w:val="08D82186"/>
    <w:rsid w:val="08F979A1"/>
    <w:rsid w:val="09060066"/>
    <w:rsid w:val="090706DC"/>
    <w:rsid w:val="091C75B4"/>
    <w:rsid w:val="091F1E33"/>
    <w:rsid w:val="09256FC2"/>
    <w:rsid w:val="0926712F"/>
    <w:rsid w:val="09390DB4"/>
    <w:rsid w:val="093F645D"/>
    <w:rsid w:val="094F44E3"/>
    <w:rsid w:val="096275FE"/>
    <w:rsid w:val="09686427"/>
    <w:rsid w:val="09705132"/>
    <w:rsid w:val="097A01A0"/>
    <w:rsid w:val="09807390"/>
    <w:rsid w:val="098C23B7"/>
    <w:rsid w:val="099368A6"/>
    <w:rsid w:val="09993E4C"/>
    <w:rsid w:val="099E733A"/>
    <w:rsid w:val="09A2202C"/>
    <w:rsid w:val="09A313A7"/>
    <w:rsid w:val="09A77C9A"/>
    <w:rsid w:val="09AA2ACA"/>
    <w:rsid w:val="09AF4727"/>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760DB6"/>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3E0CEC"/>
    <w:rsid w:val="0B49387C"/>
    <w:rsid w:val="0B517A43"/>
    <w:rsid w:val="0B560B94"/>
    <w:rsid w:val="0B5B432B"/>
    <w:rsid w:val="0B6058A7"/>
    <w:rsid w:val="0B704389"/>
    <w:rsid w:val="0B757FBB"/>
    <w:rsid w:val="0B8311F4"/>
    <w:rsid w:val="0B8B13F4"/>
    <w:rsid w:val="0B8C4AF7"/>
    <w:rsid w:val="0B934CA5"/>
    <w:rsid w:val="0B94771A"/>
    <w:rsid w:val="0B9D4D53"/>
    <w:rsid w:val="0BA3062A"/>
    <w:rsid w:val="0BA954C4"/>
    <w:rsid w:val="0BB25843"/>
    <w:rsid w:val="0BB729F6"/>
    <w:rsid w:val="0BC77705"/>
    <w:rsid w:val="0BE004CF"/>
    <w:rsid w:val="0BE120C4"/>
    <w:rsid w:val="0BE57B4E"/>
    <w:rsid w:val="0BEB0B21"/>
    <w:rsid w:val="0BF83F28"/>
    <w:rsid w:val="0BFF50CA"/>
    <w:rsid w:val="0C0511F2"/>
    <w:rsid w:val="0C074871"/>
    <w:rsid w:val="0C284481"/>
    <w:rsid w:val="0C3255F2"/>
    <w:rsid w:val="0C355818"/>
    <w:rsid w:val="0C37777C"/>
    <w:rsid w:val="0C4057C9"/>
    <w:rsid w:val="0C424878"/>
    <w:rsid w:val="0C635DBE"/>
    <w:rsid w:val="0C755CB5"/>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8C6DF0"/>
    <w:rsid w:val="0D94360A"/>
    <w:rsid w:val="0DA33F70"/>
    <w:rsid w:val="0DA74C71"/>
    <w:rsid w:val="0DB63E92"/>
    <w:rsid w:val="0DC0393B"/>
    <w:rsid w:val="0DC43254"/>
    <w:rsid w:val="0DC4433C"/>
    <w:rsid w:val="0DCD2C1C"/>
    <w:rsid w:val="0DE42847"/>
    <w:rsid w:val="0DE67218"/>
    <w:rsid w:val="0E092132"/>
    <w:rsid w:val="0E0A21A9"/>
    <w:rsid w:val="0E113293"/>
    <w:rsid w:val="0E134E83"/>
    <w:rsid w:val="0E17220C"/>
    <w:rsid w:val="0E26107A"/>
    <w:rsid w:val="0E2C61C1"/>
    <w:rsid w:val="0E3A207D"/>
    <w:rsid w:val="0E4F3F26"/>
    <w:rsid w:val="0E5E7524"/>
    <w:rsid w:val="0E734461"/>
    <w:rsid w:val="0E927861"/>
    <w:rsid w:val="0EA04D7B"/>
    <w:rsid w:val="0EA4482A"/>
    <w:rsid w:val="0EA926E0"/>
    <w:rsid w:val="0EB467CA"/>
    <w:rsid w:val="0EC132D7"/>
    <w:rsid w:val="0EC572E7"/>
    <w:rsid w:val="0ECD33DF"/>
    <w:rsid w:val="0EDC3297"/>
    <w:rsid w:val="0EE22D51"/>
    <w:rsid w:val="0EE700B0"/>
    <w:rsid w:val="0EE71B21"/>
    <w:rsid w:val="0EF402E3"/>
    <w:rsid w:val="0F0939B9"/>
    <w:rsid w:val="0F0E6CDB"/>
    <w:rsid w:val="0F4143CE"/>
    <w:rsid w:val="0F4340EF"/>
    <w:rsid w:val="0F4F182E"/>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E22B2"/>
    <w:rsid w:val="10581EE1"/>
    <w:rsid w:val="106E070C"/>
    <w:rsid w:val="107550E9"/>
    <w:rsid w:val="107B67FE"/>
    <w:rsid w:val="10836400"/>
    <w:rsid w:val="1087427D"/>
    <w:rsid w:val="108F5AD6"/>
    <w:rsid w:val="10910A6C"/>
    <w:rsid w:val="10937379"/>
    <w:rsid w:val="10A01DA7"/>
    <w:rsid w:val="10A1788B"/>
    <w:rsid w:val="10A772EF"/>
    <w:rsid w:val="10B247B3"/>
    <w:rsid w:val="10BE79E8"/>
    <w:rsid w:val="10D111E5"/>
    <w:rsid w:val="10DE5F6D"/>
    <w:rsid w:val="10E75ECD"/>
    <w:rsid w:val="10FC0194"/>
    <w:rsid w:val="10FE02D8"/>
    <w:rsid w:val="110F2DD6"/>
    <w:rsid w:val="111E737C"/>
    <w:rsid w:val="112070BC"/>
    <w:rsid w:val="11334554"/>
    <w:rsid w:val="11445096"/>
    <w:rsid w:val="114A0C38"/>
    <w:rsid w:val="114C7F4B"/>
    <w:rsid w:val="115266C3"/>
    <w:rsid w:val="118D3FE6"/>
    <w:rsid w:val="11903C21"/>
    <w:rsid w:val="11947738"/>
    <w:rsid w:val="11A20CC6"/>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2EE6"/>
    <w:rsid w:val="12403D21"/>
    <w:rsid w:val="125013C6"/>
    <w:rsid w:val="125822F1"/>
    <w:rsid w:val="125E6811"/>
    <w:rsid w:val="12737B22"/>
    <w:rsid w:val="127444CA"/>
    <w:rsid w:val="127F5C15"/>
    <w:rsid w:val="128871AC"/>
    <w:rsid w:val="128B57E5"/>
    <w:rsid w:val="128F6A2B"/>
    <w:rsid w:val="129402A3"/>
    <w:rsid w:val="1297086D"/>
    <w:rsid w:val="129B27C3"/>
    <w:rsid w:val="12A5159D"/>
    <w:rsid w:val="12A76780"/>
    <w:rsid w:val="12A80664"/>
    <w:rsid w:val="12B65865"/>
    <w:rsid w:val="12C74C64"/>
    <w:rsid w:val="12C96684"/>
    <w:rsid w:val="12CA2A9C"/>
    <w:rsid w:val="12CB77F1"/>
    <w:rsid w:val="12DD13AC"/>
    <w:rsid w:val="12EB1F09"/>
    <w:rsid w:val="12F2663F"/>
    <w:rsid w:val="12F41B54"/>
    <w:rsid w:val="12FE0F0C"/>
    <w:rsid w:val="13060FB9"/>
    <w:rsid w:val="13194EFE"/>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C3988"/>
    <w:rsid w:val="141813E7"/>
    <w:rsid w:val="141F4D38"/>
    <w:rsid w:val="142373DC"/>
    <w:rsid w:val="142903E8"/>
    <w:rsid w:val="143357DB"/>
    <w:rsid w:val="1446122E"/>
    <w:rsid w:val="144A0D85"/>
    <w:rsid w:val="145204E6"/>
    <w:rsid w:val="145A1D5A"/>
    <w:rsid w:val="145E73FE"/>
    <w:rsid w:val="146C12BB"/>
    <w:rsid w:val="146F0320"/>
    <w:rsid w:val="14743C37"/>
    <w:rsid w:val="14791CE3"/>
    <w:rsid w:val="14851CC6"/>
    <w:rsid w:val="148C237F"/>
    <w:rsid w:val="14A06FC1"/>
    <w:rsid w:val="14AC0D94"/>
    <w:rsid w:val="14AD5060"/>
    <w:rsid w:val="14B94964"/>
    <w:rsid w:val="14BB3A1F"/>
    <w:rsid w:val="14D969A6"/>
    <w:rsid w:val="14E61747"/>
    <w:rsid w:val="1502097B"/>
    <w:rsid w:val="15324071"/>
    <w:rsid w:val="15337D09"/>
    <w:rsid w:val="153C211B"/>
    <w:rsid w:val="153C7063"/>
    <w:rsid w:val="155D0A7F"/>
    <w:rsid w:val="15684240"/>
    <w:rsid w:val="156F1C12"/>
    <w:rsid w:val="1580763A"/>
    <w:rsid w:val="1586427B"/>
    <w:rsid w:val="15886767"/>
    <w:rsid w:val="15967E8D"/>
    <w:rsid w:val="159A07D2"/>
    <w:rsid w:val="159C63AC"/>
    <w:rsid w:val="15AA7739"/>
    <w:rsid w:val="15B82FBA"/>
    <w:rsid w:val="15BC4B29"/>
    <w:rsid w:val="15BE1C46"/>
    <w:rsid w:val="15C06260"/>
    <w:rsid w:val="15CA0DC6"/>
    <w:rsid w:val="15DD4A1C"/>
    <w:rsid w:val="15E90584"/>
    <w:rsid w:val="15F50C4E"/>
    <w:rsid w:val="16036160"/>
    <w:rsid w:val="160A0813"/>
    <w:rsid w:val="16192C05"/>
    <w:rsid w:val="16263368"/>
    <w:rsid w:val="163E496F"/>
    <w:rsid w:val="16401FC7"/>
    <w:rsid w:val="16435725"/>
    <w:rsid w:val="16540136"/>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01371"/>
    <w:rsid w:val="16E22E42"/>
    <w:rsid w:val="16E74CBD"/>
    <w:rsid w:val="16F6268C"/>
    <w:rsid w:val="170A2095"/>
    <w:rsid w:val="170B79C5"/>
    <w:rsid w:val="171A54C8"/>
    <w:rsid w:val="171B6233"/>
    <w:rsid w:val="172B290E"/>
    <w:rsid w:val="17386DB9"/>
    <w:rsid w:val="1741574D"/>
    <w:rsid w:val="175B1D16"/>
    <w:rsid w:val="175E40B9"/>
    <w:rsid w:val="178B5FD7"/>
    <w:rsid w:val="178E5D23"/>
    <w:rsid w:val="1793303A"/>
    <w:rsid w:val="179C79A4"/>
    <w:rsid w:val="17AC2141"/>
    <w:rsid w:val="17AE1106"/>
    <w:rsid w:val="17B070BF"/>
    <w:rsid w:val="17D52F7B"/>
    <w:rsid w:val="17EB75B0"/>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37FD7"/>
    <w:rsid w:val="19160144"/>
    <w:rsid w:val="191F38B0"/>
    <w:rsid w:val="19216787"/>
    <w:rsid w:val="19241273"/>
    <w:rsid w:val="192664A4"/>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BC3C77"/>
    <w:rsid w:val="19D16582"/>
    <w:rsid w:val="19E0148D"/>
    <w:rsid w:val="19E675DB"/>
    <w:rsid w:val="19E858AF"/>
    <w:rsid w:val="19E95C0F"/>
    <w:rsid w:val="1A002A36"/>
    <w:rsid w:val="1A2B25FE"/>
    <w:rsid w:val="1A3454BE"/>
    <w:rsid w:val="1A37645B"/>
    <w:rsid w:val="1A523105"/>
    <w:rsid w:val="1A5562D2"/>
    <w:rsid w:val="1A580DDD"/>
    <w:rsid w:val="1A64411F"/>
    <w:rsid w:val="1A7857C1"/>
    <w:rsid w:val="1A9160AD"/>
    <w:rsid w:val="1AA91D4F"/>
    <w:rsid w:val="1AB0412B"/>
    <w:rsid w:val="1AB14FC0"/>
    <w:rsid w:val="1AB203D4"/>
    <w:rsid w:val="1AB77836"/>
    <w:rsid w:val="1AC94D1F"/>
    <w:rsid w:val="1ACA2775"/>
    <w:rsid w:val="1ACA3941"/>
    <w:rsid w:val="1ACE7057"/>
    <w:rsid w:val="1AD6153D"/>
    <w:rsid w:val="1ADA55B5"/>
    <w:rsid w:val="1ADC1643"/>
    <w:rsid w:val="1ADF0AC1"/>
    <w:rsid w:val="1AED2C11"/>
    <w:rsid w:val="1AF103B1"/>
    <w:rsid w:val="1B094BB4"/>
    <w:rsid w:val="1B0E04C0"/>
    <w:rsid w:val="1B0E27E5"/>
    <w:rsid w:val="1B192659"/>
    <w:rsid w:val="1B193B18"/>
    <w:rsid w:val="1B341EBA"/>
    <w:rsid w:val="1B3B5A5B"/>
    <w:rsid w:val="1B400993"/>
    <w:rsid w:val="1B4A340F"/>
    <w:rsid w:val="1B512965"/>
    <w:rsid w:val="1B5755CC"/>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A96E2B"/>
    <w:rsid w:val="1CBD71D8"/>
    <w:rsid w:val="1CC05CC7"/>
    <w:rsid w:val="1CC8042E"/>
    <w:rsid w:val="1CD358A2"/>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05CC5"/>
    <w:rsid w:val="1D8C3DAD"/>
    <w:rsid w:val="1DAE4EFB"/>
    <w:rsid w:val="1DB71CD1"/>
    <w:rsid w:val="1DBC10D7"/>
    <w:rsid w:val="1DBD16BE"/>
    <w:rsid w:val="1DC11297"/>
    <w:rsid w:val="1DD4721F"/>
    <w:rsid w:val="1DF15A34"/>
    <w:rsid w:val="1DFD30C4"/>
    <w:rsid w:val="1E1D65A9"/>
    <w:rsid w:val="1E1F62DB"/>
    <w:rsid w:val="1E20504E"/>
    <w:rsid w:val="1E2B3BCE"/>
    <w:rsid w:val="1E3F0D90"/>
    <w:rsid w:val="1E4B77EA"/>
    <w:rsid w:val="1E582320"/>
    <w:rsid w:val="1E5F399D"/>
    <w:rsid w:val="1E642BA9"/>
    <w:rsid w:val="1E6D1CF0"/>
    <w:rsid w:val="1E737E76"/>
    <w:rsid w:val="1E766DF2"/>
    <w:rsid w:val="1E780410"/>
    <w:rsid w:val="1E8E5EF5"/>
    <w:rsid w:val="1E9B24D5"/>
    <w:rsid w:val="1EA5795B"/>
    <w:rsid w:val="1EAD0FF4"/>
    <w:rsid w:val="1EAF1548"/>
    <w:rsid w:val="1EB24880"/>
    <w:rsid w:val="1EBF492F"/>
    <w:rsid w:val="1EC15A2A"/>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5E7DA3"/>
    <w:rsid w:val="1F792F27"/>
    <w:rsid w:val="1F904F2D"/>
    <w:rsid w:val="1F9C3C77"/>
    <w:rsid w:val="1FBE768E"/>
    <w:rsid w:val="1FD072CB"/>
    <w:rsid w:val="1FD81AFC"/>
    <w:rsid w:val="1FE31889"/>
    <w:rsid w:val="1FE761B1"/>
    <w:rsid w:val="1FF92454"/>
    <w:rsid w:val="200F4543"/>
    <w:rsid w:val="201C27F9"/>
    <w:rsid w:val="202B3804"/>
    <w:rsid w:val="202F471C"/>
    <w:rsid w:val="205D1CF3"/>
    <w:rsid w:val="20600899"/>
    <w:rsid w:val="206D77FE"/>
    <w:rsid w:val="2075205C"/>
    <w:rsid w:val="20766B5D"/>
    <w:rsid w:val="207C5A77"/>
    <w:rsid w:val="20812A7A"/>
    <w:rsid w:val="208967EC"/>
    <w:rsid w:val="20984E4E"/>
    <w:rsid w:val="20A56834"/>
    <w:rsid w:val="20AA06CD"/>
    <w:rsid w:val="20B06246"/>
    <w:rsid w:val="20B51035"/>
    <w:rsid w:val="20B53FF2"/>
    <w:rsid w:val="20C429FD"/>
    <w:rsid w:val="20CC063E"/>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9E66D1"/>
    <w:rsid w:val="21AA139D"/>
    <w:rsid w:val="21BB20FC"/>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30060E8"/>
    <w:rsid w:val="2304651B"/>
    <w:rsid w:val="23105512"/>
    <w:rsid w:val="233272DB"/>
    <w:rsid w:val="23491C4F"/>
    <w:rsid w:val="234E59AA"/>
    <w:rsid w:val="23543002"/>
    <w:rsid w:val="235C2ECF"/>
    <w:rsid w:val="23764B9D"/>
    <w:rsid w:val="2376738D"/>
    <w:rsid w:val="23891D0E"/>
    <w:rsid w:val="23925C55"/>
    <w:rsid w:val="2397295F"/>
    <w:rsid w:val="23976015"/>
    <w:rsid w:val="239F4DB2"/>
    <w:rsid w:val="23B21CC7"/>
    <w:rsid w:val="23BC1A29"/>
    <w:rsid w:val="23D7300B"/>
    <w:rsid w:val="23E863E8"/>
    <w:rsid w:val="23EF6864"/>
    <w:rsid w:val="23FF4029"/>
    <w:rsid w:val="240B1BA7"/>
    <w:rsid w:val="241B3778"/>
    <w:rsid w:val="241E044C"/>
    <w:rsid w:val="242244CF"/>
    <w:rsid w:val="243A6DF4"/>
    <w:rsid w:val="244B4209"/>
    <w:rsid w:val="24560AE2"/>
    <w:rsid w:val="24605B88"/>
    <w:rsid w:val="24671C47"/>
    <w:rsid w:val="24794836"/>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E41E7"/>
    <w:rsid w:val="25221698"/>
    <w:rsid w:val="252A07E3"/>
    <w:rsid w:val="252D4876"/>
    <w:rsid w:val="25493BC7"/>
    <w:rsid w:val="254F48B6"/>
    <w:rsid w:val="2550468A"/>
    <w:rsid w:val="255A0011"/>
    <w:rsid w:val="25653A50"/>
    <w:rsid w:val="25781361"/>
    <w:rsid w:val="258D7703"/>
    <w:rsid w:val="25965B26"/>
    <w:rsid w:val="25A65B5B"/>
    <w:rsid w:val="25A8698B"/>
    <w:rsid w:val="25AD3136"/>
    <w:rsid w:val="25B57485"/>
    <w:rsid w:val="25BC2096"/>
    <w:rsid w:val="25C1234B"/>
    <w:rsid w:val="25CD3FBC"/>
    <w:rsid w:val="25CE04F1"/>
    <w:rsid w:val="25D8469D"/>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A64E34"/>
    <w:rsid w:val="26B00275"/>
    <w:rsid w:val="26B64413"/>
    <w:rsid w:val="26B84084"/>
    <w:rsid w:val="26BD76EB"/>
    <w:rsid w:val="26BF382E"/>
    <w:rsid w:val="26C54B9B"/>
    <w:rsid w:val="26C6512F"/>
    <w:rsid w:val="26D901D4"/>
    <w:rsid w:val="26E30520"/>
    <w:rsid w:val="26FF2B2A"/>
    <w:rsid w:val="26FF3DC8"/>
    <w:rsid w:val="2718290D"/>
    <w:rsid w:val="27183AD8"/>
    <w:rsid w:val="2756780D"/>
    <w:rsid w:val="275F248D"/>
    <w:rsid w:val="27644211"/>
    <w:rsid w:val="276F5857"/>
    <w:rsid w:val="27713096"/>
    <w:rsid w:val="277C6089"/>
    <w:rsid w:val="278019FC"/>
    <w:rsid w:val="27886E04"/>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A7B8F"/>
    <w:rsid w:val="285C6B52"/>
    <w:rsid w:val="286310DC"/>
    <w:rsid w:val="286915C4"/>
    <w:rsid w:val="28786605"/>
    <w:rsid w:val="287B731C"/>
    <w:rsid w:val="2887164E"/>
    <w:rsid w:val="28892426"/>
    <w:rsid w:val="288B2E18"/>
    <w:rsid w:val="28A843B1"/>
    <w:rsid w:val="28B20B7C"/>
    <w:rsid w:val="28DF2C40"/>
    <w:rsid w:val="28E141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31EAA"/>
    <w:rsid w:val="29DC6F28"/>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E673C"/>
    <w:rsid w:val="2ABF2BCC"/>
    <w:rsid w:val="2AC3006E"/>
    <w:rsid w:val="2AC43F9F"/>
    <w:rsid w:val="2AC6136D"/>
    <w:rsid w:val="2AD05183"/>
    <w:rsid w:val="2ADC703A"/>
    <w:rsid w:val="2AE00623"/>
    <w:rsid w:val="2AEA4EB9"/>
    <w:rsid w:val="2AEC22C7"/>
    <w:rsid w:val="2B063A1F"/>
    <w:rsid w:val="2B0738F0"/>
    <w:rsid w:val="2B0E0F65"/>
    <w:rsid w:val="2B2114E1"/>
    <w:rsid w:val="2B2C1264"/>
    <w:rsid w:val="2B2F7D02"/>
    <w:rsid w:val="2B374C7F"/>
    <w:rsid w:val="2B3E071E"/>
    <w:rsid w:val="2B3F420A"/>
    <w:rsid w:val="2B4A3494"/>
    <w:rsid w:val="2B4D5A99"/>
    <w:rsid w:val="2B510311"/>
    <w:rsid w:val="2B581A5B"/>
    <w:rsid w:val="2B593E95"/>
    <w:rsid w:val="2B5A4189"/>
    <w:rsid w:val="2B5D3ED4"/>
    <w:rsid w:val="2B654F54"/>
    <w:rsid w:val="2B7831EA"/>
    <w:rsid w:val="2B7D13CC"/>
    <w:rsid w:val="2B8876B4"/>
    <w:rsid w:val="2B935FD0"/>
    <w:rsid w:val="2BA13AB1"/>
    <w:rsid w:val="2BA857ED"/>
    <w:rsid w:val="2BBF2CAD"/>
    <w:rsid w:val="2BD94617"/>
    <w:rsid w:val="2BDD4799"/>
    <w:rsid w:val="2C143363"/>
    <w:rsid w:val="2C191249"/>
    <w:rsid w:val="2C1F6162"/>
    <w:rsid w:val="2C2D1BEC"/>
    <w:rsid w:val="2C2E702D"/>
    <w:rsid w:val="2C396882"/>
    <w:rsid w:val="2C3B789F"/>
    <w:rsid w:val="2C467CD2"/>
    <w:rsid w:val="2C4A64EC"/>
    <w:rsid w:val="2C4C4186"/>
    <w:rsid w:val="2C4C5BF6"/>
    <w:rsid w:val="2C6F332D"/>
    <w:rsid w:val="2C802F84"/>
    <w:rsid w:val="2C8045D1"/>
    <w:rsid w:val="2CAA3375"/>
    <w:rsid w:val="2CB771ED"/>
    <w:rsid w:val="2CC130AA"/>
    <w:rsid w:val="2CC736A5"/>
    <w:rsid w:val="2CCE2604"/>
    <w:rsid w:val="2CD40880"/>
    <w:rsid w:val="2CD94EC2"/>
    <w:rsid w:val="2CDE4229"/>
    <w:rsid w:val="2CE04532"/>
    <w:rsid w:val="2CEB42D0"/>
    <w:rsid w:val="2D0A6D50"/>
    <w:rsid w:val="2D0A7297"/>
    <w:rsid w:val="2D1350E2"/>
    <w:rsid w:val="2D15427B"/>
    <w:rsid w:val="2D35124C"/>
    <w:rsid w:val="2D416047"/>
    <w:rsid w:val="2D421841"/>
    <w:rsid w:val="2D4D0E6D"/>
    <w:rsid w:val="2D501998"/>
    <w:rsid w:val="2D696E27"/>
    <w:rsid w:val="2D723FD9"/>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1629"/>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E4AED"/>
    <w:rsid w:val="2FDF6214"/>
    <w:rsid w:val="300A43D0"/>
    <w:rsid w:val="301537C5"/>
    <w:rsid w:val="30185978"/>
    <w:rsid w:val="301E6A4B"/>
    <w:rsid w:val="30264A9E"/>
    <w:rsid w:val="302E6167"/>
    <w:rsid w:val="303C3B19"/>
    <w:rsid w:val="304F4F89"/>
    <w:rsid w:val="305F515E"/>
    <w:rsid w:val="30663002"/>
    <w:rsid w:val="306E0AD2"/>
    <w:rsid w:val="307C5326"/>
    <w:rsid w:val="30845B36"/>
    <w:rsid w:val="308A4A18"/>
    <w:rsid w:val="3095526B"/>
    <w:rsid w:val="30974BB3"/>
    <w:rsid w:val="309A1154"/>
    <w:rsid w:val="30A01C92"/>
    <w:rsid w:val="30A5426C"/>
    <w:rsid w:val="30BA4328"/>
    <w:rsid w:val="30C4178A"/>
    <w:rsid w:val="30D363D4"/>
    <w:rsid w:val="30E46B3F"/>
    <w:rsid w:val="30EE74AD"/>
    <w:rsid w:val="30F42C57"/>
    <w:rsid w:val="30FD79BE"/>
    <w:rsid w:val="3100405D"/>
    <w:rsid w:val="31055913"/>
    <w:rsid w:val="310F7A81"/>
    <w:rsid w:val="311739F5"/>
    <w:rsid w:val="31174211"/>
    <w:rsid w:val="311F60D7"/>
    <w:rsid w:val="31216170"/>
    <w:rsid w:val="31317087"/>
    <w:rsid w:val="31330D64"/>
    <w:rsid w:val="31383FB1"/>
    <w:rsid w:val="3146283D"/>
    <w:rsid w:val="315D1164"/>
    <w:rsid w:val="315F2BB6"/>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1C0BD3"/>
    <w:rsid w:val="323A5F58"/>
    <w:rsid w:val="325E2979"/>
    <w:rsid w:val="32774B5E"/>
    <w:rsid w:val="32955496"/>
    <w:rsid w:val="32983099"/>
    <w:rsid w:val="329C2838"/>
    <w:rsid w:val="32AA5592"/>
    <w:rsid w:val="32AD61A5"/>
    <w:rsid w:val="32B51B69"/>
    <w:rsid w:val="32D72997"/>
    <w:rsid w:val="32D74397"/>
    <w:rsid w:val="32E46B67"/>
    <w:rsid w:val="32E75DA8"/>
    <w:rsid w:val="32F653C3"/>
    <w:rsid w:val="33052E5A"/>
    <w:rsid w:val="330E07F5"/>
    <w:rsid w:val="33154453"/>
    <w:rsid w:val="332610BF"/>
    <w:rsid w:val="33264C29"/>
    <w:rsid w:val="33405B07"/>
    <w:rsid w:val="334172D7"/>
    <w:rsid w:val="335D1100"/>
    <w:rsid w:val="33632FAB"/>
    <w:rsid w:val="33777FA7"/>
    <w:rsid w:val="337C27BA"/>
    <w:rsid w:val="3386250E"/>
    <w:rsid w:val="339B48EC"/>
    <w:rsid w:val="33A41667"/>
    <w:rsid w:val="33AE1F3D"/>
    <w:rsid w:val="33B22037"/>
    <w:rsid w:val="33B42B28"/>
    <w:rsid w:val="33B44D6A"/>
    <w:rsid w:val="33C40914"/>
    <w:rsid w:val="33CE61A0"/>
    <w:rsid w:val="33E201D4"/>
    <w:rsid w:val="33E75242"/>
    <w:rsid w:val="33F20139"/>
    <w:rsid w:val="33F90BAA"/>
    <w:rsid w:val="33FB7E97"/>
    <w:rsid w:val="340A7AC7"/>
    <w:rsid w:val="341101EA"/>
    <w:rsid w:val="341D0440"/>
    <w:rsid w:val="341E68F1"/>
    <w:rsid w:val="342105B8"/>
    <w:rsid w:val="34217FBA"/>
    <w:rsid w:val="342C4525"/>
    <w:rsid w:val="3439248A"/>
    <w:rsid w:val="3446442E"/>
    <w:rsid w:val="344A237C"/>
    <w:rsid w:val="346C064E"/>
    <w:rsid w:val="346C77B6"/>
    <w:rsid w:val="34717DC6"/>
    <w:rsid w:val="347C176C"/>
    <w:rsid w:val="3487701B"/>
    <w:rsid w:val="349738A7"/>
    <w:rsid w:val="349F001C"/>
    <w:rsid w:val="34A55B39"/>
    <w:rsid w:val="34AE2971"/>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24EF3"/>
    <w:rsid w:val="35536DE0"/>
    <w:rsid w:val="35552291"/>
    <w:rsid w:val="35584D6D"/>
    <w:rsid w:val="355A7A28"/>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D761F6"/>
    <w:rsid w:val="35E46B51"/>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A0A02"/>
    <w:rsid w:val="370E351B"/>
    <w:rsid w:val="371A521A"/>
    <w:rsid w:val="3722586F"/>
    <w:rsid w:val="37252757"/>
    <w:rsid w:val="37335775"/>
    <w:rsid w:val="37362012"/>
    <w:rsid w:val="37372456"/>
    <w:rsid w:val="37391007"/>
    <w:rsid w:val="37404B13"/>
    <w:rsid w:val="374107ED"/>
    <w:rsid w:val="37485631"/>
    <w:rsid w:val="374F724C"/>
    <w:rsid w:val="375A6911"/>
    <w:rsid w:val="3778792A"/>
    <w:rsid w:val="37791406"/>
    <w:rsid w:val="378C59A0"/>
    <w:rsid w:val="379A65A9"/>
    <w:rsid w:val="37A15AB9"/>
    <w:rsid w:val="37D1690E"/>
    <w:rsid w:val="37E474EC"/>
    <w:rsid w:val="37E93735"/>
    <w:rsid w:val="37F47C83"/>
    <w:rsid w:val="37FC4441"/>
    <w:rsid w:val="381C5DA5"/>
    <w:rsid w:val="381E5EC3"/>
    <w:rsid w:val="381E6D24"/>
    <w:rsid w:val="381E7251"/>
    <w:rsid w:val="382A53D5"/>
    <w:rsid w:val="383652ED"/>
    <w:rsid w:val="385701A2"/>
    <w:rsid w:val="386844B4"/>
    <w:rsid w:val="386900A2"/>
    <w:rsid w:val="387B2EAE"/>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6684D"/>
    <w:rsid w:val="3AF67F9A"/>
    <w:rsid w:val="3AFA4B51"/>
    <w:rsid w:val="3B036D81"/>
    <w:rsid w:val="3B0424CA"/>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643FB"/>
    <w:rsid w:val="3B8C3C14"/>
    <w:rsid w:val="3B9A6870"/>
    <w:rsid w:val="3B9C0635"/>
    <w:rsid w:val="3BA3792D"/>
    <w:rsid w:val="3BA87780"/>
    <w:rsid w:val="3BAF72C4"/>
    <w:rsid w:val="3BB11956"/>
    <w:rsid w:val="3BB43E16"/>
    <w:rsid w:val="3BC4115E"/>
    <w:rsid w:val="3BC464A4"/>
    <w:rsid w:val="3BC62916"/>
    <w:rsid w:val="3BCB15B9"/>
    <w:rsid w:val="3BCD4D79"/>
    <w:rsid w:val="3BD52CD0"/>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E0AFD"/>
    <w:rsid w:val="3C8310DE"/>
    <w:rsid w:val="3C8B14D1"/>
    <w:rsid w:val="3C9249E5"/>
    <w:rsid w:val="3C9A2A62"/>
    <w:rsid w:val="3CA10C94"/>
    <w:rsid w:val="3CA849CB"/>
    <w:rsid w:val="3CCB5BC6"/>
    <w:rsid w:val="3CD14649"/>
    <w:rsid w:val="3CD342C8"/>
    <w:rsid w:val="3CE86A1C"/>
    <w:rsid w:val="3CEF1F9E"/>
    <w:rsid w:val="3D03408B"/>
    <w:rsid w:val="3D062484"/>
    <w:rsid w:val="3D10063E"/>
    <w:rsid w:val="3D177553"/>
    <w:rsid w:val="3D193DF3"/>
    <w:rsid w:val="3D1A14AD"/>
    <w:rsid w:val="3D1D3C05"/>
    <w:rsid w:val="3D246E5A"/>
    <w:rsid w:val="3D314458"/>
    <w:rsid w:val="3D351806"/>
    <w:rsid w:val="3D49672F"/>
    <w:rsid w:val="3D4A1496"/>
    <w:rsid w:val="3D4E2B83"/>
    <w:rsid w:val="3D4E45E3"/>
    <w:rsid w:val="3D59130B"/>
    <w:rsid w:val="3D5C57BD"/>
    <w:rsid w:val="3D6A29D6"/>
    <w:rsid w:val="3D807A26"/>
    <w:rsid w:val="3D842996"/>
    <w:rsid w:val="3D8572F3"/>
    <w:rsid w:val="3D870953"/>
    <w:rsid w:val="3D8B2D9A"/>
    <w:rsid w:val="3D935AC2"/>
    <w:rsid w:val="3D98336D"/>
    <w:rsid w:val="3DA9227E"/>
    <w:rsid w:val="3DAF74FA"/>
    <w:rsid w:val="3DB000E2"/>
    <w:rsid w:val="3DB302F2"/>
    <w:rsid w:val="3DC429E1"/>
    <w:rsid w:val="3DC94DC8"/>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965476"/>
    <w:rsid w:val="3EA07325"/>
    <w:rsid w:val="3EC949A3"/>
    <w:rsid w:val="3ED92B4F"/>
    <w:rsid w:val="3EDB49C2"/>
    <w:rsid w:val="3EDF3C64"/>
    <w:rsid w:val="3EE21E99"/>
    <w:rsid w:val="3EE6497C"/>
    <w:rsid w:val="3EED30FA"/>
    <w:rsid w:val="3EF459CF"/>
    <w:rsid w:val="3EF62DD7"/>
    <w:rsid w:val="3EFD56E8"/>
    <w:rsid w:val="3F0644E9"/>
    <w:rsid w:val="3F0D093F"/>
    <w:rsid w:val="3F1556CB"/>
    <w:rsid w:val="3F24498F"/>
    <w:rsid w:val="3F2A38EA"/>
    <w:rsid w:val="3F4065BB"/>
    <w:rsid w:val="3F42308C"/>
    <w:rsid w:val="3F4C66A1"/>
    <w:rsid w:val="3F4D2D8C"/>
    <w:rsid w:val="3F4F005D"/>
    <w:rsid w:val="3F5C238A"/>
    <w:rsid w:val="3F6468A4"/>
    <w:rsid w:val="3F652907"/>
    <w:rsid w:val="3F7C280B"/>
    <w:rsid w:val="3F8074B2"/>
    <w:rsid w:val="3F86115B"/>
    <w:rsid w:val="3F8C0AE9"/>
    <w:rsid w:val="3F8D1F32"/>
    <w:rsid w:val="3F9360F8"/>
    <w:rsid w:val="3F9506AB"/>
    <w:rsid w:val="3F970FDB"/>
    <w:rsid w:val="3F9C4A09"/>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A02AED"/>
    <w:rsid w:val="40B773AB"/>
    <w:rsid w:val="40CC1F46"/>
    <w:rsid w:val="40CC2AEC"/>
    <w:rsid w:val="40D15D59"/>
    <w:rsid w:val="40D506EB"/>
    <w:rsid w:val="40D96DD7"/>
    <w:rsid w:val="40DD04A3"/>
    <w:rsid w:val="40DF60EE"/>
    <w:rsid w:val="40E32E0B"/>
    <w:rsid w:val="40F712C9"/>
    <w:rsid w:val="41055B22"/>
    <w:rsid w:val="41143DA3"/>
    <w:rsid w:val="41145094"/>
    <w:rsid w:val="4139101E"/>
    <w:rsid w:val="41454EA2"/>
    <w:rsid w:val="415347E5"/>
    <w:rsid w:val="41783809"/>
    <w:rsid w:val="418B104E"/>
    <w:rsid w:val="419516DC"/>
    <w:rsid w:val="41A86359"/>
    <w:rsid w:val="41AA5A16"/>
    <w:rsid w:val="41AA6FCA"/>
    <w:rsid w:val="41B77440"/>
    <w:rsid w:val="41C52353"/>
    <w:rsid w:val="41CC3927"/>
    <w:rsid w:val="41D00D55"/>
    <w:rsid w:val="42013392"/>
    <w:rsid w:val="420A42D5"/>
    <w:rsid w:val="421173AB"/>
    <w:rsid w:val="421604DA"/>
    <w:rsid w:val="42171951"/>
    <w:rsid w:val="42297EA4"/>
    <w:rsid w:val="42496B67"/>
    <w:rsid w:val="424A226E"/>
    <w:rsid w:val="424A673F"/>
    <w:rsid w:val="42521E1D"/>
    <w:rsid w:val="42617455"/>
    <w:rsid w:val="42686C63"/>
    <w:rsid w:val="427310D3"/>
    <w:rsid w:val="427A3678"/>
    <w:rsid w:val="427E642B"/>
    <w:rsid w:val="42965BBA"/>
    <w:rsid w:val="429B42D2"/>
    <w:rsid w:val="42A03199"/>
    <w:rsid w:val="42A2426A"/>
    <w:rsid w:val="42A551B5"/>
    <w:rsid w:val="42A82BE8"/>
    <w:rsid w:val="42AA7ACD"/>
    <w:rsid w:val="42AD59F0"/>
    <w:rsid w:val="42AE673F"/>
    <w:rsid w:val="42BF1A0E"/>
    <w:rsid w:val="42C52579"/>
    <w:rsid w:val="42C927DF"/>
    <w:rsid w:val="42DC2B30"/>
    <w:rsid w:val="42DC56B2"/>
    <w:rsid w:val="42E7624C"/>
    <w:rsid w:val="42E84AD3"/>
    <w:rsid w:val="42EC3FE2"/>
    <w:rsid w:val="430704FF"/>
    <w:rsid w:val="43124C8D"/>
    <w:rsid w:val="43166EE4"/>
    <w:rsid w:val="431857CD"/>
    <w:rsid w:val="43290253"/>
    <w:rsid w:val="432B2F7F"/>
    <w:rsid w:val="432F74E7"/>
    <w:rsid w:val="4335013C"/>
    <w:rsid w:val="433930DA"/>
    <w:rsid w:val="433A276B"/>
    <w:rsid w:val="433D027C"/>
    <w:rsid w:val="433D0BFC"/>
    <w:rsid w:val="433F610A"/>
    <w:rsid w:val="43434724"/>
    <w:rsid w:val="4355636B"/>
    <w:rsid w:val="43670F1D"/>
    <w:rsid w:val="4373608B"/>
    <w:rsid w:val="43760E30"/>
    <w:rsid w:val="437E013B"/>
    <w:rsid w:val="439259D2"/>
    <w:rsid w:val="439B4E7F"/>
    <w:rsid w:val="43AE5B17"/>
    <w:rsid w:val="43D13E89"/>
    <w:rsid w:val="43E3508A"/>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3B71FD"/>
    <w:rsid w:val="4452245F"/>
    <w:rsid w:val="445E0466"/>
    <w:rsid w:val="44614A61"/>
    <w:rsid w:val="447A4BFE"/>
    <w:rsid w:val="447E79EC"/>
    <w:rsid w:val="447F3FBD"/>
    <w:rsid w:val="448F6395"/>
    <w:rsid w:val="44922A85"/>
    <w:rsid w:val="4492631A"/>
    <w:rsid w:val="449342E9"/>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DF4749"/>
    <w:rsid w:val="45E86354"/>
    <w:rsid w:val="45E86370"/>
    <w:rsid w:val="45EE35A4"/>
    <w:rsid w:val="45F24EF7"/>
    <w:rsid w:val="45F56503"/>
    <w:rsid w:val="45FC5A69"/>
    <w:rsid w:val="45FD5369"/>
    <w:rsid w:val="460556A8"/>
    <w:rsid w:val="46125B36"/>
    <w:rsid w:val="461E4FA6"/>
    <w:rsid w:val="461F5C6B"/>
    <w:rsid w:val="46283AA1"/>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70567D9"/>
    <w:rsid w:val="470F3F48"/>
    <w:rsid w:val="4711691D"/>
    <w:rsid w:val="47205FEA"/>
    <w:rsid w:val="47227AC4"/>
    <w:rsid w:val="473C258C"/>
    <w:rsid w:val="47481121"/>
    <w:rsid w:val="474A50F5"/>
    <w:rsid w:val="475B7278"/>
    <w:rsid w:val="47644F43"/>
    <w:rsid w:val="476843F5"/>
    <w:rsid w:val="47696A2A"/>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218F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B0F66"/>
    <w:rsid w:val="492C6396"/>
    <w:rsid w:val="49374150"/>
    <w:rsid w:val="493B63FB"/>
    <w:rsid w:val="494C4AA8"/>
    <w:rsid w:val="495F2293"/>
    <w:rsid w:val="4963366C"/>
    <w:rsid w:val="49680B13"/>
    <w:rsid w:val="49680B2D"/>
    <w:rsid w:val="496A2FB3"/>
    <w:rsid w:val="497C504D"/>
    <w:rsid w:val="497D38F8"/>
    <w:rsid w:val="498D2E01"/>
    <w:rsid w:val="498D3DBD"/>
    <w:rsid w:val="49906DC0"/>
    <w:rsid w:val="49A01ABE"/>
    <w:rsid w:val="49B1336E"/>
    <w:rsid w:val="49CC464D"/>
    <w:rsid w:val="49D3414A"/>
    <w:rsid w:val="49D815D6"/>
    <w:rsid w:val="49D816F4"/>
    <w:rsid w:val="49E52DCB"/>
    <w:rsid w:val="49EB1CD3"/>
    <w:rsid w:val="49FD72F4"/>
    <w:rsid w:val="49FF7393"/>
    <w:rsid w:val="4A0412B7"/>
    <w:rsid w:val="4A093431"/>
    <w:rsid w:val="4A144E85"/>
    <w:rsid w:val="4A247675"/>
    <w:rsid w:val="4A38213A"/>
    <w:rsid w:val="4A400586"/>
    <w:rsid w:val="4A5A0B67"/>
    <w:rsid w:val="4A5B01F1"/>
    <w:rsid w:val="4A703563"/>
    <w:rsid w:val="4A742551"/>
    <w:rsid w:val="4A761B7E"/>
    <w:rsid w:val="4A762AB8"/>
    <w:rsid w:val="4A7A7FC5"/>
    <w:rsid w:val="4A7B711D"/>
    <w:rsid w:val="4A84675D"/>
    <w:rsid w:val="4A8A74FA"/>
    <w:rsid w:val="4A8C3A1A"/>
    <w:rsid w:val="4AAA3C68"/>
    <w:rsid w:val="4AB14F24"/>
    <w:rsid w:val="4AB23CDE"/>
    <w:rsid w:val="4AB377ED"/>
    <w:rsid w:val="4AB7491D"/>
    <w:rsid w:val="4AC23C99"/>
    <w:rsid w:val="4AE709A1"/>
    <w:rsid w:val="4AF15C07"/>
    <w:rsid w:val="4AF63C83"/>
    <w:rsid w:val="4AFC516F"/>
    <w:rsid w:val="4B037180"/>
    <w:rsid w:val="4B1646CF"/>
    <w:rsid w:val="4B28747E"/>
    <w:rsid w:val="4B316598"/>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430FB"/>
    <w:rsid w:val="4BD758EF"/>
    <w:rsid w:val="4BD86338"/>
    <w:rsid w:val="4BDB4835"/>
    <w:rsid w:val="4BE048F6"/>
    <w:rsid w:val="4BE20013"/>
    <w:rsid w:val="4BE214C6"/>
    <w:rsid w:val="4BE55CFC"/>
    <w:rsid w:val="4BEB7B95"/>
    <w:rsid w:val="4BF0709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076E7"/>
    <w:rsid w:val="4D5A1E97"/>
    <w:rsid w:val="4D6C0FE8"/>
    <w:rsid w:val="4D78084A"/>
    <w:rsid w:val="4D792A29"/>
    <w:rsid w:val="4D883433"/>
    <w:rsid w:val="4D8F00A4"/>
    <w:rsid w:val="4D901976"/>
    <w:rsid w:val="4D93060B"/>
    <w:rsid w:val="4D98182A"/>
    <w:rsid w:val="4D9A669F"/>
    <w:rsid w:val="4D9B1DA2"/>
    <w:rsid w:val="4DA25154"/>
    <w:rsid w:val="4DAA2A9B"/>
    <w:rsid w:val="4DB96FE3"/>
    <w:rsid w:val="4DC22045"/>
    <w:rsid w:val="4DC73899"/>
    <w:rsid w:val="4DD7573E"/>
    <w:rsid w:val="4DE20D4D"/>
    <w:rsid w:val="4DEA04F2"/>
    <w:rsid w:val="4DED1E2C"/>
    <w:rsid w:val="4E137686"/>
    <w:rsid w:val="4E1858BC"/>
    <w:rsid w:val="4E192FF3"/>
    <w:rsid w:val="4E1B2CF6"/>
    <w:rsid w:val="4E1D6909"/>
    <w:rsid w:val="4E214745"/>
    <w:rsid w:val="4E27060C"/>
    <w:rsid w:val="4E38025C"/>
    <w:rsid w:val="4E5737A4"/>
    <w:rsid w:val="4E63488E"/>
    <w:rsid w:val="4E6B1C67"/>
    <w:rsid w:val="4E7F5FA8"/>
    <w:rsid w:val="4E876A80"/>
    <w:rsid w:val="4E881A6F"/>
    <w:rsid w:val="4E900192"/>
    <w:rsid w:val="4E9D3F9D"/>
    <w:rsid w:val="4EB46112"/>
    <w:rsid w:val="4EBA6B3A"/>
    <w:rsid w:val="4ECC4E51"/>
    <w:rsid w:val="4ED06DA8"/>
    <w:rsid w:val="4ED20DC7"/>
    <w:rsid w:val="4EEB259A"/>
    <w:rsid w:val="4EED0EC0"/>
    <w:rsid w:val="4EEF5220"/>
    <w:rsid w:val="4EF4193D"/>
    <w:rsid w:val="4EF6402D"/>
    <w:rsid w:val="4F0432A1"/>
    <w:rsid w:val="4F05572E"/>
    <w:rsid w:val="4F0B1984"/>
    <w:rsid w:val="4F153A2F"/>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22C06"/>
    <w:rsid w:val="50151C34"/>
    <w:rsid w:val="50194853"/>
    <w:rsid w:val="501A1377"/>
    <w:rsid w:val="501A7DFF"/>
    <w:rsid w:val="50250986"/>
    <w:rsid w:val="502C6FDC"/>
    <w:rsid w:val="503C1ED5"/>
    <w:rsid w:val="503C1FA1"/>
    <w:rsid w:val="503C72D7"/>
    <w:rsid w:val="503D204E"/>
    <w:rsid w:val="505E14C8"/>
    <w:rsid w:val="50621D1D"/>
    <w:rsid w:val="50660A6D"/>
    <w:rsid w:val="50731582"/>
    <w:rsid w:val="509A2E32"/>
    <w:rsid w:val="509F5FAB"/>
    <w:rsid w:val="50D0779D"/>
    <w:rsid w:val="50DC2262"/>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AE5CC7"/>
    <w:rsid w:val="51B52E1B"/>
    <w:rsid w:val="51B86D5F"/>
    <w:rsid w:val="51BD4371"/>
    <w:rsid w:val="51BF72D0"/>
    <w:rsid w:val="51C47D1F"/>
    <w:rsid w:val="51CA619A"/>
    <w:rsid w:val="51D10C5E"/>
    <w:rsid w:val="51F704C3"/>
    <w:rsid w:val="521104CA"/>
    <w:rsid w:val="52184844"/>
    <w:rsid w:val="52196CD6"/>
    <w:rsid w:val="522457AB"/>
    <w:rsid w:val="52273196"/>
    <w:rsid w:val="523304CA"/>
    <w:rsid w:val="524220E9"/>
    <w:rsid w:val="524C456B"/>
    <w:rsid w:val="52532D7F"/>
    <w:rsid w:val="52686954"/>
    <w:rsid w:val="526F7059"/>
    <w:rsid w:val="527427EF"/>
    <w:rsid w:val="528D1690"/>
    <w:rsid w:val="528D53DC"/>
    <w:rsid w:val="52A54636"/>
    <w:rsid w:val="52A86C45"/>
    <w:rsid w:val="52BD2046"/>
    <w:rsid w:val="52CB4016"/>
    <w:rsid w:val="52D108EE"/>
    <w:rsid w:val="52D20B31"/>
    <w:rsid w:val="52EF040E"/>
    <w:rsid w:val="52FE7BF3"/>
    <w:rsid w:val="53083AA3"/>
    <w:rsid w:val="532F5A3F"/>
    <w:rsid w:val="53396D3A"/>
    <w:rsid w:val="5346574A"/>
    <w:rsid w:val="534D653A"/>
    <w:rsid w:val="53674B46"/>
    <w:rsid w:val="536871EA"/>
    <w:rsid w:val="536A6F68"/>
    <w:rsid w:val="539D04C7"/>
    <w:rsid w:val="53A76CC1"/>
    <w:rsid w:val="53A84A9F"/>
    <w:rsid w:val="53BC7516"/>
    <w:rsid w:val="53C07D08"/>
    <w:rsid w:val="53C31DF3"/>
    <w:rsid w:val="53D94927"/>
    <w:rsid w:val="53E0582A"/>
    <w:rsid w:val="53EB0CCB"/>
    <w:rsid w:val="53F07779"/>
    <w:rsid w:val="53F448C8"/>
    <w:rsid w:val="53F45339"/>
    <w:rsid w:val="53F823CE"/>
    <w:rsid w:val="53FA0BE3"/>
    <w:rsid w:val="53FA111D"/>
    <w:rsid w:val="53FC6B84"/>
    <w:rsid w:val="540B6880"/>
    <w:rsid w:val="541479FF"/>
    <w:rsid w:val="54243EFD"/>
    <w:rsid w:val="5457477E"/>
    <w:rsid w:val="545A5363"/>
    <w:rsid w:val="546077C6"/>
    <w:rsid w:val="54646C16"/>
    <w:rsid w:val="54647812"/>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DD7263"/>
    <w:rsid w:val="54E2459F"/>
    <w:rsid w:val="54F104F1"/>
    <w:rsid w:val="54F6543C"/>
    <w:rsid w:val="54F94026"/>
    <w:rsid w:val="550A4C45"/>
    <w:rsid w:val="55130EA3"/>
    <w:rsid w:val="55201F7D"/>
    <w:rsid w:val="552253A4"/>
    <w:rsid w:val="55243511"/>
    <w:rsid w:val="55372791"/>
    <w:rsid w:val="553E014E"/>
    <w:rsid w:val="554C5EF1"/>
    <w:rsid w:val="5554735D"/>
    <w:rsid w:val="55563B6B"/>
    <w:rsid w:val="555B1AF6"/>
    <w:rsid w:val="556D0395"/>
    <w:rsid w:val="55733033"/>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BE7A6C"/>
    <w:rsid w:val="56C60F9A"/>
    <w:rsid w:val="56CA6C7D"/>
    <w:rsid w:val="56CC2E7C"/>
    <w:rsid w:val="56CC7516"/>
    <w:rsid w:val="56D06CBC"/>
    <w:rsid w:val="56D27198"/>
    <w:rsid w:val="56D3702B"/>
    <w:rsid w:val="56E13AAA"/>
    <w:rsid w:val="56E3210E"/>
    <w:rsid w:val="56E95C47"/>
    <w:rsid w:val="56F04979"/>
    <w:rsid w:val="570D2CE4"/>
    <w:rsid w:val="572D6D7C"/>
    <w:rsid w:val="57382C2D"/>
    <w:rsid w:val="573F7625"/>
    <w:rsid w:val="57417C3F"/>
    <w:rsid w:val="57492040"/>
    <w:rsid w:val="57572BE9"/>
    <w:rsid w:val="57607C5D"/>
    <w:rsid w:val="576870CE"/>
    <w:rsid w:val="57876C6C"/>
    <w:rsid w:val="579025E4"/>
    <w:rsid w:val="57A42C34"/>
    <w:rsid w:val="57B13971"/>
    <w:rsid w:val="57B31599"/>
    <w:rsid w:val="57BE7879"/>
    <w:rsid w:val="57C60660"/>
    <w:rsid w:val="57E717C2"/>
    <w:rsid w:val="57E8396F"/>
    <w:rsid w:val="580A6283"/>
    <w:rsid w:val="580F6546"/>
    <w:rsid w:val="582F3637"/>
    <w:rsid w:val="58340044"/>
    <w:rsid w:val="58422AA4"/>
    <w:rsid w:val="58427828"/>
    <w:rsid w:val="58523AB6"/>
    <w:rsid w:val="587C03F2"/>
    <w:rsid w:val="58807131"/>
    <w:rsid w:val="58845988"/>
    <w:rsid w:val="588E455C"/>
    <w:rsid w:val="589B2EF6"/>
    <w:rsid w:val="58BB759A"/>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AF1B70"/>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E10DCB"/>
    <w:rsid w:val="5AF53485"/>
    <w:rsid w:val="5B0F1D02"/>
    <w:rsid w:val="5B167C07"/>
    <w:rsid w:val="5B17528B"/>
    <w:rsid w:val="5B1A262B"/>
    <w:rsid w:val="5B24073B"/>
    <w:rsid w:val="5B265952"/>
    <w:rsid w:val="5B315B1B"/>
    <w:rsid w:val="5B3B4DA7"/>
    <w:rsid w:val="5B3E3B02"/>
    <w:rsid w:val="5B487FEA"/>
    <w:rsid w:val="5B524538"/>
    <w:rsid w:val="5B531472"/>
    <w:rsid w:val="5B73264B"/>
    <w:rsid w:val="5B734215"/>
    <w:rsid w:val="5BAC57D5"/>
    <w:rsid w:val="5BB60E07"/>
    <w:rsid w:val="5BB85E2E"/>
    <w:rsid w:val="5BC154FF"/>
    <w:rsid w:val="5BC6691D"/>
    <w:rsid w:val="5BCE1DEC"/>
    <w:rsid w:val="5BE775DF"/>
    <w:rsid w:val="5BEA614A"/>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3E13A2"/>
    <w:rsid w:val="5D4727AF"/>
    <w:rsid w:val="5D5501F2"/>
    <w:rsid w:val="5D74023B"/>
    <w:rsid w:val="5D76003E"/>
    <w:rsid w:val="5D7B27AE"/>
    <w:rsid w:val="5D936A3C"/>
    <w:rsid w:val="5DA232D1"/>
    <w:rsid w:val="5DAB0628"/>
    <w:rsid w:val="5DB0276A"/>
    <w:rsid w:val="5DB256B2"/>
    <w:rsid w:val="5DC66B74"/>
    <w:rsid w:val="5DCA5651"/>
    <w:rsid w:val="5DDC1DA0"/>
    <w:rsid w:val="5DF94359"/>
    <w:rsid w:val="5DFD58F6"/>
    <w:rsid w:val="5E104740"/>
    <w:rsid w:val="5E294D98"/>
    <w:rsid w:val="5E2D6716"/>
    <w:rsid w:val="5E3A6B57"/>
    <w:rsid w:val="5E3B4227"/>
    <w:rsid w:val="5E3C4BD7"/>
    <w:rsid w:val="5E563B5E"/>
    <w:rsid w:val="5E654B94"/>
    <w:rsid w:val="5E671789"/>
    <w:rsid w:val="5E6A2D60"/>
    <w:rsid w:val="5E732AED"/>
    <w:rsid w:val="5E73467B"/>
    <w:rsid w:val="5E7625CA"/>
    <w:rsid w:val="5E7D69ED"/>
    <w:rsid w:val="5E7F6E97"/>
    <w:rsid w:val="5E81650A"/>
    <w:rsid w:val="5E9B6F9B"/>
    <w:rsid w:val="5EAC18A7"/>
    <w:rsid w:val="5EC41C59"/>
    <w:rsid w:val="5EC76D0B"/>
    <w:rsid w:val="5ECE020E"/>
    <w:rsid w:val="5EDF234F"/>
    <w:rsid w:val="5EE1348F"/>
    <w:rsid w:val="5EEC4531"/>
    <w:rsid w:val="5EEF7313"/>
    <w:rsid w:val="5EF03005"/>
    <w:rsid w:val="5EFF31B8"/>
    <w:rsid w:val="5F0D2DE4"/>
    <w:rsid w:val="5F0D6C84"/>
    <w:rsid w:val="5F1B5F77"/>
    <w:rsid w:val="5F2754A3"/>
    <w:rsid w:val="5F287E0B"/>
    <w:rsid w:val="5F2A3F9F"/>
    <w:rsid w:val="5F306744"/>
    <w:rsid w:val="5F417E0E"/>
    <w:rsid w:val="5F473D51"/>
    <w:rsid w:val="5F4A55C6"/>
    <w:rsid w:val="5F4B3D65"/>
    <w:rsid w:val="5F5A0BD2"/>
    <w:rsid w:val="5F6930D0"/>
    <w:rsid w:val="5F6A388F"/>
    <w:rsid w:val="5F702AE8"/>
    <w:rsid w:val="5F744282"/>
    <w:rsid w:val="5F7543B4"/>
    <w:rsid w:val="5F8A2AF4"/>
    <w:rsid w:val="5FA47747"/>
    <w:rsid w:val="5FBF3FC2"/>
    <w:rsid w:val="5FC40B48"/>
    <w:rsid w:val="5FC41F4F"/>
    <w:rsid w:val="5FD80461"/>
    <w:rsid w:val="5FDF1EF7"/>
    <w:rsid w:val="5FE93E1D"/>
    <w:rsid w:val="5FF529AA"/>
    <w:rsid w:val="5FFA16EA"/>
    <w:rsid w:val="60022F17"/>
    <w:rsid w:val="6005155C"/>
    <w:rsid w:val="60084D6A"/>
    <w:rsid w:val="601023F1"/>
    <w:rsid w:val="601375A8"/>
    <w:rsid w:val="6015029C"/>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18658F"/>
    <w:rsid w:val="611E6A1D"/>
    <w:rsid w:val="613258E7"/>
    <w:rsid w:val="613B0519"/>
    <w:rsid w:val="61426594"/>
    <w:rsid w:val="614F7714"/>
    <w:rsid w:val="614F79E9"/>
    <w:rsid w:val="615F2167"/>
    <w:rsid w:val="615F7D6A"/>
    <w:rsid w:val="616048EE"/>
    <w:rsid w:val="61653414"/>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DF20A9"/>
    <w:rsid w:val="62E54C39"/>
    <w:rsid w:val="62EB578C"/>
    <w:rsid w:val="62F167F5"/>
    <w:rsid w:val="62FE5AC6"/>
    <w:rsid w:val="63092CD9"/>
    <w:rsid w:val="63325CEE"/>
    <w:rsid w:val="63554F96"/>
    <w:rsid w:val="635555EB"/>
    <w:rsid w:val="635D0A00"/>
    <w:rsid w:val="635D7216"/>
    <w:rsid w:val="636720D2"/>
    <w:rsid w:val="636E7708"/>
    <w:rsid w:val="63716BBE"/>
    <w:rsid w:val="63722410"/>
    <w:rsid w:val="63794C98"/>
    <w:rsid w:val="637F7CAA"/>
    <w:rsid w:val="63820932"/>
    <w:rsid w:val="638B7478"/>
    <w:rsid w:val="638C6540"/>
    <w:rsid w:val="63944133"/>
    <w:rsid w:val="63B02A4F"/>
    <w:rsid w:val="63C54498"/>
    <w:rsid w:val="63C971F8"/>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33E92"/>
    <w:rsid w:val="648B4737"/>
    <w:rsid w:val="648E77AA"/>
    <w:rsid w:val="64931551"/>
    <w:rsid w:val="649A7664"/>
    <w:rsid w:val="64AA03CD"/>
    <w:rsid w:val="64B11959"/>
    <w:rsid w:val="64C07750"/>
    <w:rsid w:val="64C8402C"/>
    <w:rsid w:val="64CB1A19"/>
    <w:rsid w:val="64CD6B04"/>
    <w:rsid w:val="64D63EE7"/>
    <w:rsid w:val="64D833A6"/>
    <w:rsid w:val="64DC1655"/>
    <w:rsid w:val="64E74C54"/>
    <w:rsid w:val="64ED57E5"/>
    <w:rsid w:val="64F013C4"/>
    <w:rsid w:val="650136B1"/>
    <w:rsid w:val="65117ECA"/>
    <w:rsid w:val="65135D1F"/>
    <w:rsid w:val="65180EC0"/>
    <w:rsid w:val="6521305C"/>
    <w:rsid w:val="652173D3"/>
    <w:rsid w:val="6524182C"/>
    <w:rsid w:val="65317C28"/>
    <w:rsid w:val="65342637"/>
    <w:rsid w:val="6535383A"/>
    <w:rsid w:val="653E582F"/>
    <w:rsid w:val="656F5997"/>
    <w:rsid w:val="65753498"/>
    <w:rsid w:val="657C1693"/>
    <w:rsid w:val="657D1CD5"/>
    <w:rsid w:val="65884515"/>
    <w:rsid w:val="658F53C8"/>
    <w:rsid w:val="65995C0C"/>
    <w:rsid w:val="65A15764"/>
    <w:rsid w:val="65A22487"/>
    <w:rsid w:val="65B652C1"/>
    <w:rsid w:val="65D74DE3"/>
    <w:rsid w:val="65E9248D"/>
    <w:rsid w:val="65EF7DFF"/>
    <w:rsid w:val="66200813"/>
    <w:rsid w:val="662032A0"/>
    <w:rsid w:val="66322707"/>
    <w:rsid w:val="664A2B0B"/>
    <w:rsid w:val="66645BD3"/>
    <w:rsid w:val="666752FC"/>
    <w:rsid w:val="666927FF"/>
    <w:rsid w:val="666B6F56"/>
    <w:rsid w:val="66706620"/>
    <w:rsid w:val="667A0598"/>
    <w:rsid w:val="667A2800"/>
    <w:rsid w:val="66895C07"/>
    <w:rsid w:val="669022B7"/>
    <w:rsid w:val="66940A39"/>
    <w:rsid w:val="66AD2869"/>
    <w:rsid w:val="66B73366"/>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060A"/>
    <w:rsid w:val="67CF70B8"/>
    <w:rsid w:val="67E57D0E"/>
    <w:rsid w:val="67E7052E"/>
    <w:rsid w:val="67EB09CD"/>
    <w:rsid w:val="67F65281"/>
    <w:rsid w:val="680509F9"/>
    <w:rsid w:val="680A2685"/>
    <w:rsid w:val="681875C8"/>
    <w:rsid w:val="681C74AF"/>
    <w:rsid w:val="68236328"/>
    <w:rsid w:val="682A15E7"/>
    <w:rsid w:val="683208A5"/>
    <w:rsid w:val="68486434"/>
    <w:rsid w:val="684D17CE"/>
    <w:rsid w:val="68580B81"/>
    <w:rsid w:val="686F30C5"/>
    <w:rsid w:val="687016DA"/>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8C6721"/>
    <w:rsid w:val="69940630"/>
    <w:rsid w:val="69AF6A95"/>
    <w:rsid w:val="69BB706B"/>
    <w:rsid w:val="69BD310B"/>
    <w:rsid w:val="69C24AC2"/>
    <w:rsid w:val="69C630CF"/>
    <w:rsid w:val="69C8779E"/>
    <w:rsid w:val="69CE20ED"/>
    <w:rsid w:val="69D05E78"/>
    <w:rsid w:val="69D807AC"/>
    <w:rsid w:val="69D90A84"/>
    <w:rsid w:val="69E1087F"/>
    <w:rsid w:val="6A0C4CCC"/>
    <w:rsid w:val="6A112FF4"/>
    <w:rsid w:val="6A130B08"/>
    <w:rsid w:val="6A1A072E"/>
    <w:rsid w:val="6A1D6053"/>
    <w:rsid w:val="6A1F08C8"/>
    <w:rsid w:val="6A2B356A"/>
    <w:rsid w:val="6A4F5866"/>
    <w:rsid w:val="6A556559"/>
    <w:rsid w:val="6A57578E"/>
    <w:rsid w:val="6A576216"/>
    <w:rsid w:val="6A5A6AB0"/>
    <w:rsid w:val="6A6825EC"/>
    <w:rsid w:val="6A6E653E"/>
    <w:rsid w:val="6A753D8D"/>
    <w:rsid w:val="6A776BFB"/>
    <w:rsid w:val="6A8D1B9C"/>
    <w:rsid w:val="6A90701E"/>
    <w:rsid w:val="6A9B3AED"/>
    <w:rsid w:val="6AAC51C2"/>
    <w:rsid w:val="6AAF7616"/>
    <w:rsid w:val="6AC802C7"/>
    <w:rsid w:val="6AD51FFB"/>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F6C35"/>
    <w:rsid w:val="6B210B08"/>
    <w:rsid w:val="6B3950CA"/>
    <w:rsid w:val="6B3D1977"/>
    <w:rsid w:val="6B3E1542"/>
    <w:rsid w:val="6B3F2B4F"/>
    <w:rsid w:val="6B407F5A"/>
    <w:rsid w:val="6B416A29"/>
    <w:rsid w:val="6B5A41AF"/>
    <w:rsid w:val="6B671D29"/>
    <w:rsid w:val="6B6A7091"/>
    <w:rsid w:val="6B6B4D30"/>
    <w:rsid w:val="6B751185"/>
    <w:rsid w:val="6B8A477E"/>
    <w:rsid w:val="6B8F6298"/>
    <w:rsid w:val="6B984631"/>
    <w:rsid w:val="6BA82C4B"/>
    <w:rsid w:val="6BB02DDF"/>
    <w:rsid w:val="6BD92C40"/>
    <w:rsid w:val="6BE839EF"/>
    <w:rsid w:val="6BED6077"/>
    <w:rsid w:val="6BEF3B00"/>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82ED7"/>
    <w:rsid w:val="6D2B1D59"/>
    <w:rsid w:val="6D2D4582"/>
    <w:rsid w:val="6D442267"/>
    <w:rsid w:val="6D473E8D"/>
    <w:rsid w:val="6D4B4AE0"/>
    <w:rsid w:val="6D536837"/>
    <w:rsid w:val="6D701265"/>
    <w:rsid w:val="6D7C2123"/>
    <w:rsid w:val="6D8A17FB"/>
    <w:rsid w:val="6D95593B"/>
    <w:rsid w:val="6DAA2FA8"/>
    <w:rsid w:val="6DAB1C1A"/>
    <w:rsid w:val="6DAB38BE"/>
    <w:rsid w:val="6DB56605"/>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921FA"/>
    <w:rsid w:val="6ECA5A5F"/>
    <w:rsid w:val="6EDF1E6E"/>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46241"/>
    <w:rsid w:val="6FEF4CBF"/>
    <w:rsid w:val="6FF03265"/>
    <w:rsid w:val="6FF27EB0"/>
    <w:rsid w:val="6FF67217"/>
    <w:rsid w:val="70111D80"/>
    <w:rsid w:val="7013451F"/>
    <w:rsid w:val="70150303"/>
    <w:rsid w:val="702005DC"/>
    <w:rsid w:val="70433623"/>
    <w:rsid w:val="7083502F"/>
    <w:rsid w:val="70853BCC"/>
    <w:rsid w:val="70966EA4"/>
    <w:rsid w:val="70A23903"/>
    <w:rsid w:val="70B4157B"/>
    <w:rsid w:val="70D14F39"/>
    <w:rsid w:val="70D3493E"/>
    <w:rsid w:val="70D76741"/>
    <w:rsid w:val="70E00AE5"/>
    <w:rsid w:val="710A3270"/>
    <w:rsid w:val="710F45F3"/>
    <w:rsid w:val="711819F0"/>
    <w:rsid w:val="712913E3"/>
    <w:rsid w:val="71306252"/>
    <w:rsid w:val="71364608"/>
    <w:rsid w:val="713C7C54"/>
    <w:rsid w:val="715823CF"/>
    <w:rsid w:val="716621C1"/>
    <w:rsid w:val="717065C7"/>
    <w:rsid w:val="71A167E4"/>
    <w:rsid w:val="71A53C39"/>
    <w:rsid w:val="71AB5F8A"/>
    <w:rsid w:val="71B04DD0"/>
    <w:rsid w:val="71B07710"/>
    <w:rsid w:val="71B24E95"/>
    <w:rsid w:val="71C27B04"/>
    <w:rsid w:val="71C5773E"/>
    <w:rsid w:val="71D8471D"/>
    <w:rsid w:val="71DF00AD"/>
    <w:rsid w:val="71E41E32"/>
    <w:rsid w:val="71E44BF0"/>
    <w:rsid w:val="71F55E85"/>
    <w:rsid w:val="71FC4C7C"/>
    <w:rsid w:val="72251DA4"/>
    <w:rsid w:val="72414E2B"/>
    <w:rsid w:val="724D094B"/>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23FF7"/>
    <w:rsid w:val="739B3131"/>
    <w:rsid w:val="73AB4006"/>
    <w:rsid w:val="73B35A75"/>
    <w:rsid w:val="73B91DA2"/>
    <w:rsid w:val="73C66FFC"/>
    <w:rsid w:val="73C97E9E"/>
    <w:rsid w:val="73D35621"/>
    <w:rsid w:val="73D40DA2"/>
    <w:rsid w:val="73DD1180"/>
    <w:rsid w:val="73E42EF7"/>
    <w:rsid w:val="73E93129"/>
    <w:rsid w:val="73FB1416"/>
    <w:rsid w:val="741D25EF"/>
    <w:rsid w:val="741E5F67"/>
    <w:rsid w:val="74390C11"/>
    <w:rsid w:val="74422B4B"/>
    <w:rsid w:val="744300E1"/>
    <w:rsid w:val="74465350"/>
    <w:rsid w:val="746B647F"/>
    <w:rsid w:val="7489283A"/>
    <w:rsid w:val="749262B3"/>
    <w:rsid w:val="74973215"/>
    <w:rsid w:val="74A6039C"/>
    <w:rsid w:val="74AD4EDF"/>
    <w:rsid w:val="74B53285"/>
    <w:rsid w:val="74B746E8"/>
    <w:rsid w:val="74C3296B"/>
    <w:rsid w:val="74C971DE"/>
    <w:rsid w:val="74CE2F83"/>
    <w:rsid w:val="74D67798"/>
    <w:rsid w:val="74D87365"/>
    <w:rsid w:val="74DF4168"/>
    <w:rsid w:val="75111A9D"/>
    <w:rsid w:val="752650AE"/>
    <w:rsid w:val="752D306B"/>
    <w:rsid w:val="752F19FD"/>
    <w:rsid w:val="753022BE"/>
    <w:rsid w:val="75311E23"/>
    <w:rsid w:val="754F3919"/>
    <w:rsid w:val="75530645"/>
    <w:rsid w:val="755631A4"/>
    <w:rsid w:val="755F2C4C"/>
    <w:rsid w:val="75732383"/>
    <w:rsid w:val="75932FC4"/>
    <w:rsid w:val="7594489B"/>
    <w:rsid w:val="7595501B"/>
    <w:rsid w:val="7596405D"/>
    <w:rsid w:val="759F5E08"/>
    <w:rsid w:val="75BB3488"/>
    <w:rsid w:val="75BE4BC3"/>
    <w:rsid w:val="75C37294"/>
    <w:rsid w:val="75DF5DB2"/>
    <w:rsid w:val="760E5232"/>
    <w:rsid w:val="762A38F1"/>
    <w:rsid w:val="762B622C"/>
    <w:rsid w:val="762E5891"/>
    <w:rsid w:val="763E0596"/>
    <w:rsid w:val="763F7318"/>
    <w:rsid w:val="764665DC"/>
    <w:rsid w:val="76466B26"/>
    <w:rsid w:val="765B57AA"/>
    <w:rsid w:val="766E595B"/>
    <w:rsid w:val="767479C3"/>
    <w:rsid w:val="76824D53"/>
    <w:rsid w:val="7688580C"/>
    <w:rsid w:val="769D6C1D"/>
    <w:rsid w:val="76A4234D"/>
    <w:rsid w:val="76A67DFC"/>
    <w:rsid w:val="76AB3135"/>
    <w:rsid w:val="76B11ED8"/>
    <w:rsid w:val="76B45F6C"/>
    <w:rsid w:val="76BD5918"/>
    <w:rsid w:val="76C160CF"/>
    <w:rsid w:val="76C719EA"/>
    <w:rsid w:val="76CB0D2D"/>
    <w:rsid w:val="76CC04C9"/>
    <w:rsid w:val="76D631D8"/>
    <w:rsid w:val="76D83137"/>
    <w:rsid w:val="76E00FAD"/>
    <w:rsid w:val="76E025F0"/>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0577"/>
    <w:rsid w:val="777965ED"/>
    <w:rsid w:val="77817EAC"/>
    <w:rsid w:val="77891315"/>
    <w:rsid w:val="778D6E1D"/>
    <w:rsid w:val="77927428"/>
    <w:rsid w:val="779317E6"/>
    <w:rsid w:val="779D7593"/>
    <w:rsid w:val="779D792C"/>
    <w:rsid w:val="77AB7559"/>
    <w:rsid w:val="77AC5CCB"/>
    <w:rsid w:val="77B827FD"/>
    <w:rsid w:val="77C11145"/>
    <w:rsid w:val="77C80872"/>
    <w:rsid w:val="77D02423"/>
    <w:rsid w:val="77D65936"/>
    <w:rsid w:val="77DC06F1"/>
    <w:rsid w:val="77E17736"/>
    <w:rsid w:val="77E61546"/>
    <w:rsid w:val="77FC6C1C"/>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014B6"/>
    <w:rsid w:val="795E2273"/>
    <w:rsid w:val="797E288F"/>
    <w:rsid w:val="798B58B7"/>
    <w:rsid w:val="79B561F9"/>
    <w:rsid w:val="79BB2056"/>
    <w:rsid w:val="79C178A4"/>
    <w:rsid w:val="79C87ACE"/>
    <w:rsid w:val="79CA5589"/>
    <w:rsid w:val="79CA72B2"/>
    <w:rsid w:val="79CB01E3"/>
    <w:rsid w:val="79DC07CB"/>
    <w:rsid w:val="79E24A71"/>
    <w:rsid w:val="79F729CB"/>
    <w:rsid w:val="79FE0717"/>
    <w:rsid w:val="7A0927B5"/>
    <w:rsid w:val="7A0F072E"/>
    <w:rsid w:val="7A340D66"/>
    <w:rsid w:val="7A362CD0"/>
    <w:rsid w:val="7A4D596D"/>
    <w:rsid w:val="7A5433E7"/>
    <w:rsid w:val="7A550F52"/>
    <w:rsid w:val="7A5A154D"/>
    <w:rsid w:val="7A5D4ECA"/>
    <w:rsid w:val="7A5E019B"/>
    <w:rsid w:val="7A632889"/>
    <w:rsid w:val="7A6D214B"/>
    <w:rsid w:val="7A6D51AF"/>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726262"/>
    <w:rsid w:val="7B845564"/>
    <w:rsid w:val="7BA6311A"/>
    <w:rsid w:val="7BB2289D"/>
    <w:rsid w:val="7BB30DF6"/>
    <w:rsid w:val="7BC0506C"/>
    <w:rsid w:val="7BCC327F"/>
    <w:rsid w:val="7BCD44BF"/>
    <w:rsid w:val="7BD06D46"/>
    <w:rsid w:val="7BD130AE"/>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2D1703"/>
    <w:rsid w:val="7C447A03"/>
    <w:rsid w:val="7C447CFF"/>
    <w:rsid w:val="7C4D33E3"/>
    <w:rsid w:val="7C53730A"/>
    <w:rsid w:val="7C5A260A"/>
    <w:rsid w:val="7C741B8F"/>
    <w:rsid w:val="7C837FD6"/>
    <w:rsid w:val="7C8D6CAE"/>
    <w:rsid w:val="7C950DB7"/>
    <w:rsid w:val="7C98405E"/>
    <w:rsid w:val="7C9C0DFD"/>
    <w:rsid w:val="7C9F4809"/>
    <w:rsid w:val="7CA20D5A"/>
    <w:rsid w:val="7CA614D6"/>
    <w:rsid w:val="7CA751A0"/>
    <w:rsid w:val="7CAC6F42"/>
    <w:rsid w:val="7CB65C9A"/>
    <w:rsid w:val="7CC4609E"/>
    <w:rsid w:val="7CC623BD"/>
    <w:rsid w:val="7CE048DE"/>
    <w:rsid w:val="7CE529A1"/>
    <w:rsid w:val="7CE8425F"/>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145B78"/>
    <w:rsid w:val="7E1625A8"/>
    <w:rsid w:val="7E1E5DFA"/>
    <w:rsid w:val="7E282F37"/>
    <w:rsid w:val="7E45572A"/>
    <w:rsid w:val="7E4F3EE6"/>
    <w:rsid w:val="7E525688"/>
    <w:rsid w:val="7E5358A2"/>
    <w:rsid w:val="7E57165F"/>
    <w:rsid w:val="7E5C5F01"/>
    <w:rsid w:val="7E5E10AB"/>
    <w:rsid w:val="7E607C6A"/>
    <w:rsid w:val="7E811934"/>
    <w:rsid w:val="7E8F6B16"/>
    <w:rsid w:val="7E993F90"/>
    <w:rsid w:val="7EA617D8"/>
    <w:rsid w:val="7EA83C1A"/>
    <w:rsid w:val="7EA96A04"/>
    <w:rsid w:val="7EAA4D43"/>
    <w:rsid w:val="7EB84C85"/>
    <w:rsid w:val="7ECA7D82"/>
    <w:rsid w:val="7EDD2BB7"/>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3D4757"/>
    <w:rsid w:val="7F405636"/>
    <w:rsid w:val="7F560F95"/>
    <w:rsid w:val="7F6A0783"/>
    <w:rsid w:val="7F737A53"/>
    <w:rsid w:val="7F750D65"/>
    <w:rsid w:val="7F8339FD"/>
    <w:rsid w:val="7F974ED5"/>
    <w:rsid w:val="7FA15F27"/>
    <w:rsid w:val="7FA7276D"/>
    <w:rsid w:val="7FB25973"/>
    <w:rsid w:val="7FCE1A7C"/>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113"/>
    <w:qFormat/>
    <w:uiPriority w:val="99"/>
    <w:pPr>
      <w:tabs>
        <w:tab w:val="center" w:pos="4153"/>
        <w:tab w:val="right" w:pos="8306"/>
      </w:tabs>
      <w:jc w:val="left"/>
    </w:p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BB6D7-A4E4-4C43-8161-7A434D678026}">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Pages>
  <Words>1175</Words>
  <Characters>6698</Characters>
  <Lines>55</Lines>
  <Paragraphs>15</Paragraphs>
  <TotalTime>7</TotalTime>
  <ScaleCrop>false</ScaleCrop>
  <LinksUpToDate>false</LinksUpToDate>
  <CharactersWithSpaces>7858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2021-01-14T13:49:31Z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